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B74" w14:textId="77777777" w:rsidR="009F16D2" w:rsidRDefault="009F16D2" w:rsidP="009F16D2">
      <w:pPr>
        <w:ind w:left="720" w:firstLine="720"/>
        <w:rPr>
          <w:b/>
          <w:bCs/>
          <w:color w:val="002060"/>
          <w:sz w:val="72"/>
          <w:szCs w:val="72"/>
        </w:rPr>
      </w:pPr>
      <w:r>
        <w:rPr>
          <w:noProof/>
          <w:lang w:eastAsia="en-GB"/>
        </w:rPr>
        <w:drawing>
          <wp:anchor distT="0" distB="0" distL="114300" distR="114300" simplePos="0" relativeHeight="251659264" behindDoc="1" locked="0" layoutInCell="1" allowOverlap="1" wp14:anchorId="1A2D5379" wp14:editId="57E810E3">
            <wp:simplePos x="0" y="0"/>
            <wp:positionH relativeFrom="column">
              <wp:posOffset>-914400</wp:posOffset>
            </wp:positionH>
            <wp:positionV relativeFrom="paragraph">
              <wp:posOffset>177800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6E7D4" w14:textId="77777777" w:rsidR="009F16D2" w:rsidRDefault="009F16D2" w:rsidP="009F16D2">
      <w:pPr>
        <w:ind w:left="720" w:firstLine="720"/>
        <w:rPr>
          <w:b/>
          <w:bCs/>
          <w:color w:val="002060"/>
          <w:sz w:val="72"/>
          <w:szCs w:val="72"/>
        </w:rPr>
      </w:pPr>
    </w:p>
    <w:p w14:paraId="16A87F11" w14:textId="62D4CCA1" w:rsidR="009F16D2" w:rsidRPr="009F16D2" w:rsidRDefault="009F16D2" w:rsidP="009F16D2">
      <w:pPr>
        <w:ind w:left="720" w:firstLine="720"/>
        <w:jc w:val="center"/>
        <w:rPr>
          <w:rFonts w:ascii="Arial" w:hAnsi="Arial" w:cs="Arial"/>
          <w:b/>
          <w:bCs/>
          <w:sz w:val="72"/>
          <w:szCs w:val="72"/>
        </w:rPr>
      </w:pPr>
      <w:r w:rsidRPr="009F16D2">
        <w:rPr>
          <w:rFonts w:ascii="Arial" w:hAnsi="Arial" w:cs="Arial"/>
          <w:b/>
          <w:bCs/>
          <w:sz w:val="72"/>
          <w:szCs w:val="72"/>
        </w:rPr>
        <w:t>Draft Conflicts of Interest Policy</w:t>
      </w:r>
    </w:p>
    <w:p w14:paraId="591F7ADA" w14:textId="77777777" w:rsidR="009F16D2" w:rsidRPr="0069411A" w:rsidRDefault="009F16D2" w:rsidP="009F16D2">
      <w:pPr>
        <w:pStyle w:val="BodyText"/>
        <w:jc w:val="right"/>
        <w:rPr>
          <w:b/>
          <w:bCs/>
          <w:sz w:val="52"/>
          <w:szCs w:val="52"/>
        </w:rPr>
      </w:pPr>
    </w:p>
    <w:p w14:paraId="27B8E892" w14:textId="77777777" w:rsidR="009F16D2" w:rsidRPr="009F16D2" w:rsidRDefault="009F16D2" w:rsidP="009F16D2">
      <w:pPr>
        <w:pStyle w:val="BodyTextIndent"/>
        <w:tabs>
          <w:tab w:val="left" w:pos="567"/>
        </w:tabs>
        <w:ind w:left="567"/>
        <w:jc w:val="center"/>
        <w:rPr>
          <w:rFonts w:ascii="Arial Black" w:hAnsi="Arial Black"/>
          <w:bCs/>
          <w:sz w:val="36"/>
          <w:szCs w:val="36"/>
        </w:rPr>
      </w:pPr>
      <w:r w:rsidRPr="009F16D2">
        <w:rPr>
          <w:rFonts w:ascii="Arial Black" w:hAnsi="Arial Black"/>
          <w:bCs/>
          <w:sz w:val="36"/>
          <w:szCs w:val="36"/>
        </w:rPr>
        <w:t>London Borough of Harrow Pension Fund</w:t>
      </w:r>
    </w:p>
    <w:p w14:paraId="7BBEE7AD" w14:textId="77777777" w:rsidR="009F16D2" w:rsidRPr="009F16D2" w:rsidRDefault="009F16D2" w:rsidP="009F16D2">
      <w:pPr>
        <w:jc w:val="right"/>
        <w:rPr>
          <w:rFonts w:ascii="Arial Black" w:hAnsi="Arial Black"/>
          <w:b/>
          <w:sz w:val="40"/>
          <w:szCs w:val="40"/>
        </w:rPr>
      </w:pPr>
    </w:p>
    <w:p w14:paraId="65CAD25A" w14:textId="77777777" w:rsidR="009F16D2" w:rsidRPr="009F16D2" w:rsidRDefault="009F16D2" w:rsidP="009F16D2">
      <w:pPr>
        <w:pStyle w:val="BodyText"/>
        <w:rPr>
          <w:rFonts w:ascii="Arial Black" w:hAnsi="Arial Black"/>
        </w:rPr>
      </w:pPr>
    </w:p>
    <w:p w14:paraId="30F4C64D" w14:textId="77777777" w:rsidR="009F16D2" w:rsidRPr="009F16D2" w:rsidRDefault="009F16D2" w:rsidP="009F16D2">
      <w:pPr>
        <w:pStyle w:val="BodyText"/>
        <w:rPr>
          <w:rFonts w:ascii="Arial Black" w:hAnsi="Arial Black"/>
        </w:rPr>
      </w:pPr>
    </w:p>
    <w:p w14:paraId="39683843" w14:textId="77777777" w:rsidR="009F16D2" w:rsidRPr="009F16D2" w:rsidRDefault="009F16D2" w:rsidP="009F16D2">
      <w:pPr>
        <w:pStyle w:val="BodyText"/>
        <w:rPr>
          <w:rFonts w:ascii="Arial Black" w:hAnsi="Arial Black"/>
        </w:rPr>
      </w:pPr>
    </w:p>
    <w:p w14:paraId="6E433655" w14:textId="77777777" w:rsidR="009F16D2" w:rsidRPr="009F16D2" w:rsidRDefault="009F16D2" w:rsidP="009F16D2">
      <w:pPr>
        <w:rPr>
          <w:rFonts w:ascii="Arial Black" w:hAnsi="Arial Black"/>
          <w:b/>
          <w:sz w:val="40"/>
          <w:szCs w:val="40"/>
        </w:rPr>
      </w:pPr>
    </w:p>
    <w:p w14:paraId="23884C79" w14:textId="77777777" w:rsidR="009F16D2" w:rsidRPr="009F16D2" w:rsidRDefault="009F16D2" w:rsidP="009F16D2">
      <w:pPr>
        <w:pStyle w:val="BodyText"/>
        <w:rPr>
          <w:rFonts w:ascii="Arial Black" w:hAnsi="Arial Black"/>
        </w:rPr>
      </w:pPr>
    </w:p>
    <w:p w14:paraId="3EEA7F85" w14:textId="77777777" w:rsidR="009F16D2" w:rsidRPr="009F16D2" w:rsidRDefault="009F16D2" w:rsidP="009F16D2">
      <w:pPr>
        <w:rPr>
          <w:rFonts w:ascii="Arial Black" w:hAnsi="Arial Black"/>
          <w:b/>
          <w:sz w:val="40"/>
          <w:szCs w:val="40"/>
        </w:rPr>
      </w:pPr>
    </w:p>
    <w:p w14:paraId="452AE8AF" w14:textId="77777777" w:rsidR="009F16D2" w:rsidRPr="009F16D2" w:rsidRDefault="009F16D2" w:rsidP="009F16D2">
      <w:pPr>
        <w:pStyle w:val="BodyText"/>
        <w:jc w:val="right"/>
        <w:rPr>
          <w:rFonts w:ascii="Arial Black" w:hAnsi="Arial Black"/>
          <w:sz w:val="36"/>
          <w:szCs w:val="36"/>
        </w:rPr>
        <w:sectPr w:rsidR="009F16D2" w:rsidRPr="009F16D2" w:rsidSect="003D3AF2">
          <w:footerReference w:type="default" r:id="rId12"/>
          <w:headerReference w:type="first" r:id="rId13"/>
          <w:footerReference w:type="first" r:id="rId14"/>
          <w:pgSz w:w="11909" w:h="16834" w:code="9"/>
          <w:pgMar w:top="2160" w:right="1440" w:bottom="2160" w:left="1440" w:header="720" w:footer="720" w:gutter="0"/>
          <w:cols w:space="720"/>
          <w:titlePg/>
          <w:docGrid w:linePitch="272"/>
        </w:sectPr>
      </w:pPr>
      <w:r w:rsidRPr="009F16D2">
        <w:rPr>
          <w:rFonts w:ascii="Arial Black" w:hAnsi="Arial Black"/>
          <w:sz w:val="36"/>
          <w:szCs w:val="36"/>
        </w:rPr>
        <w:t>December 2021</w:t>
      </w:r>
    </w:p>
    <w:p w14:paraId="58C003CA" w14:textId="260E6AEA" w:rsidR="00694347" w:rsidRPr="00FF5C84" w:rsidRDefault="00694347" w:rsidP="00694347">
      <w:pPr>
        <w:pStyle w:val="Heading1Num"/>
        <w:rPr>
          <w:b/>
          <w:bCs/>
          <w:color w:val="auto"/>
          <w:sz w:val="28"/>
          <w:szCs w:val="28"/>
        </w:rPr>
      </w:pPr>
      <w:r w:rsidRPr="00FF5C84">
        <w:rPr>
          <w:b/>
          <w:bCs/>
          <w:color w:val="auto"/>
          <w:sz w:val="28"/>
          <w:szCs w:val="28"/>
        </w:rPr>
        <w:lastRenderedPageBreak/>
        <w:t>Background</w:t>
      </w:r>
    </w:p>
    <w:p w14:paraId="588C6181" w14:textId="51897705" w:rsidR="00FF5C84" w:rsidRDefault="00336767" w:rsidP="00FF5C84">
      <w:pPr>
        <w:pStyle w:val="Heading2Num"/>
        <w:spacing w:after="240"/>
        <w:rPr>
          <w:b w:val="0"/>
          <w:bCs/>
          <w:color w:val="auto"/>
          <w:sz w:val="24"/>
          <w:szCs w:val="24"/>
        </w:rPr>
      </w:pPr>
      <w:r w:rsidRPr="00FF5C84">
        <w:rPr>
          <w:b w:val="0"/>
          <w:bCs/>
          <w:color w:val="auto"/>
          <w:sz w:val="24"/>
          <w:szCs w:val="24"/>
        </w:rPr>
        <w:t xml:space="preserve">This policy sets out how </w:t>
      </w:r>
      <w:r w:rsidR="009F16D2" w:rsidRPr="00FF5C84">
        <w:rPr>
          <w:b w:val="0"/>
          <w:bCs/>
          <w:color w:val="auto"/>
          <w:sz w:val="24"/>
          <w:szCs w:val="24"/>
        </w:rPr>
        <w:t xml:space="preserve">the London Borough of Harrow </w:t>
      </w:r>
      <w:r w:rsidRPr="00FF5C84">
        <w:rPr>
          <w:b w:val="0"/>
          <w:bCs/>
          <w:color w:val="auto"/>
          <w:sz w:val="24"/>
          <w:szCs w:val="24"/>
        </w:rPr>
        <w:t>(</w:t>
      </w:r>
      <w:r w:rsidR="0059632C" w:rsidRPr="00FF5C84">
        <w:rPr>
          <w:b w:val="0"/>
          <w:bCs/>
          <w:color w:val="auto"/>
          <w:sz w:val="24"/>
          <w:szCs w:val="24"/>
        </w:rPr>
        <w:t>t</w:t>
      </w:r>
      <w:r w:rsidRPr="00FF5C84">
        <w:rPr>
          <w:b w:val="0"/>
          <w:bCs/>
          <w:color w:val="auto"/>
          <w:sz w:val="24"/>
          <w:szCs w:val="24"/>
        </w:rPr>
        <w:t xml:space="preserve">he </w:t>
      </w:r>
      <w:r w:rsidR="0059632C" w:rsidRPr="00FF5C84">
        <w:rPr>
          <w:b w:val="0"/>
          <w:bCs/>
          <w:color w:val="auto"/>
          <w:sz w:val="24"/>
          <w:szCs w:val="24"/>
        </w:rPr>
        <w:t>“</w:t>
      </w:r>
      <w:r w:rsidRPr="00FF5C84">
        <w:rPr>
          <w:b w:val="0"/>
          <w:bCs/>
          <w:color w:val="auto"/>
          <w:sz w:val="24"/>
          <w:szCs w:val="24"/>
        </w:rPr>
        <w:t xml:space="preserve">Council”) will identify, manage and mitigate potential conflicts of interest that may arise in carrying out its role as the administering authority for the </w:t>
      </w:r>
      <w:r w:rsidR="00FF5C84" w:rsidRPr="00FF5C84">
        <w:rPr>
          <w:b w:val="0"/>
          <w:bCs/>
          <w:color w:val="auto"/>
          <w:sz w:val="24"/>
          <w:szCs w:val="24"/>
        </w:rPr>
        <w:t xml:space="preserve">London Borough of Harrow </w:t>
      </w:r>
      <w:r w:rsidRPr="00FF5C84">
        <w:rPr>
          <w:b w:val="0"/>
          <w:bCs/>
          <w:color w:val="auto"/>
          <w:sz w:val="24"/>
          <w:szCs w:val="24"/>
        </w:rPr>
        <w:t>Pension Fund (</w:t>
      </w:r>
      <w:r w:rsidR="0059632C" w:rsidRPr="00FF5C84">
        <w:rPr>
          <w:b w:val="0"/>
          <w:bCs/>
          <w:color w:val="auto"/>
          <w:sz w:val="24"/>
          <w:szCs w:val="24"/>
        </w:rPr>
        <w:t>t</w:t>
      </w:r>
      <w:r w:rsidRPr="00FF5C84">
        <w:rPr>
          <w:b w:val="0"/>
          <w:bCs/>
          <w:color w:val="auto"/>
          <w:sz w:val="24"/>
          <w:szCs w:val="24"/>
        </w:rPr>
        <w:t xml:space="preserve">he </w:t>
      </w:r>
      <w:r w:rsidR="0059632C" w:rsidRPr="00FF5C84">
        <w:rPr>
          <w:b w:val="0"/>
          <w:bCs/>
          <w:color w:val="auto"/>
          <w:sz w:val="24"/>
          <w:szCs w:val="24"/>
        </w:rPr>
        <w:t>“</w:t>
      </w:r>
      <w:r w:rsidRPr="00FF5C84">
        <w:rPr>
          <w:b w:val="0"/>
          <w:bCs/>
          <w:color w:val="auto"/>
          <w:sz w:val="24"/>
          <w:szCs w:val="24"/>
        </w:rPr>
        <w:t>Fund”)</w:t>
      </w:r>
      <w:r w:rsidR="00FF5C84">
        <w:rPr>
          <w:b w:val="0"/>
          <w:bCs/>
          <w:color w:val="auto"/>
          <w:sz w:val="24"/>
          <w:szCs w:val="24"/>
        </w:rPr>
        <w:t>.</w:t>
      </w:r>
    </w:p>
    <w:p w14:paraId="1F351C00" w14:textId="0700760D" w:rsidR="00FF5C84" w:rsidRPr="00FF5C84" w:rsidRDefault="00336767" w:rsidP="00FF5C84">
      <w:pPr>
        <w:pStyle w:val="Heading2Num"/>
        <w:spacing w:after="240"/>
        <w:rPr>
          <w:b w:val="0"/>
          <w:bCs/>
          <w:color w:val="auto"/>
          <w:sz w:val="24"/>
          <w:szCs w:val="24"/>
        </w:rPr>
      </w:pPr>
      <w:r w:rsidRPr="00FF5C84">
        <w:rPr>
          <w:b w:val="0"/>
          <w:bCs/>
          <w:color w:val="auto"/>
          <w:sz w:val="24"/>
          <w:szCs w:val="24"/>
        </w:rPr>
        <w:t xml:space="preserve">The Council recognises that its dual role as both an employer participating in </w:t>
      </w:r>
      <w:r w:rsidR="00C95C7D" w:rsidRPr="00FF5C84">
        <w:rPr>
          <w:b w:val="0"/>
          <w:bCs/>
          <w:color w:val="auto"/>
          <w:sz w:val="24"/>
          <w:szCs w:val="24"/>
        </w:rPr>
        <w:t>t</w:t>
      </w:r>
      <w:r w:rsidRPr="00FF5C84">
        <w:rPr>
          <w:b w:val="0"/>
          <w:bCs/>
          <w:color w:val="auto"/>
          <w:sz w:val="24"/>
          <w:szCs w:val="24"/>
        </w:rPr>
        <w:t xml:space="preserve">he Fund and the body legally tasked with its management can produce the potential for conflicts of interest.  Furthermore, those individuals involved in managing, overseeing </w:t>
      </w:r>
      <w:r w:rsidR="002C539C" w:rsidRPr="00FF5C84">
        <w:rPr>
          <w:b w:val="0"/>
          <w:bCs/>
          <w:color w:val="auto"/>
          <w:sz w:val="24"/>
          <w:szCs w:val="24"/>
        </w:rPr>
        <w:t xml:space="preserve">or advising </w:t>
      </w:r>
      <w:r w:rsidR="00C95C7D" w:rsidRPr="00FF5C84">
        <w:rPr>
          <w:b w:val="0"/>
          <w:bCs/>
          <w:color w:val="auto"/>
          <w:sz w:val="24"/>
          <w:szCs w:val="24"/>
        </w:rPr>
        <w:t>t</w:t>
      </w:r>
      <w:r w:rsidR="002C539C" w:rsidRPr="00FF5C84">
        <w:rPr>
          <w:b w:val="0"/>
          <w:bCs/>
          <w:color w:val="auto"/>
          <w:sz w:val="24"/>
          <w:szCs w:val="24"/>
        </w:rPr>
        <w:t>he Fund may, from time to time, find that they face competing incentives</w:t>
      </w:r>
      <w:r w:rsidR="00D35A66" w:rsidRPr="00FF5C84">
        <w:rPr>
          <w:b w:val="0"/>
          <w:bCs/>
          <w:color w:val="auto"/>
          <w:sz w:val="24"/>
          <w:szCs w:val="24"/>
        </w:rPr>
        <w:t>, financial or otherwise,</w:t>
      </w:r>
      <w:r w:rsidR="002C539C" w:rsidRPr="00FF5C84">
        <w:rPr>
          <w:b w:val="0"/>
          <w:bCs/>
          <w:color w:val="auto"/>
          <w:sz w:val="24"/>
          <w:szCs w:val="24"/>
        </w:rPr>
        <w:t xml:space="preserve"> as a result of their profession</w:t>
      </w:r>
      <w:r w:rsidR="00D35A66" w:rsidRPr="00FF5C84">
        <w:rPr>
          <w:b w:val="0"/>
          <w:bCs/>
          <w:color w:val="auto"/>
          <w:sz w:val="24"/>
          <w:szCs w:val="24"/>
        </w:rPr>
        <w:t>al</w:t>
      </w:r>
      <w:r w:rsidR="002C539C" w:rsidRPr="00FF5C84">
        <w:rPr>
          <w:b w:val="0"/>
          <w:bCs/>
          <w:color w:val="auto"/>
          <w:sz w:val="24"/>
          <w:szCs w:val="24"/>
        </w:rPr>
        <w:t xml:space="preserve"> or personal circumstances</w:t>
      </w:r>
      <w:r w:rsidR="00FF5C84" w:rsidRPr="00FF5C84">
        <w:rPr>
          <w:b w:val="0"/>
          <w:bCs/>
          <w:color w:val="auto"/>
          <w:sz w:val="24"/>
          <w:szCs w:val="24"/>
        </w:rPr>
        <w:t>.</w:t>
      </w:r>
    </w:p>
    <w:p w14:paraId="009CE28D" w14:textId="3692F3C8" w:rsidR="00336767" w:rsidRDefault="00336767" w:rsidP="00FF5C84">
      <w:pPr>
        <w:pStyle w:val="Heading2Num"/>
        <w:rPr>
          <w:b w:val="0"/>
          <w:bCs/>
          <w:color w:val="auto"/>
          <w:sz w:val="24"/>
          <w:szCs w:val="24"/>
        </w:rPr>
      </w:pPr>
      <w:r w:rsidRPr="00FF5C84">
        <w:rPr>
          <w:b w:val="0"/>
          <w:bCs/>
          <w:color w:val="auto"/>
          <w:sz w:val="24"/>
          <w:szCs w:val="24"/>
        </w:rPr>
        <w:t>It is important</w:t>
      </w:r>
      <w:r w:rsidR="002C539C" w:rsidRPr="00FF5C84">
        <w:rPr>
          <w:b w:val="0"/>
          <w:bCs/>
          <w:color w:val="auto"/>
          <w:sz w:val="24"/>
          <w:szCs w:val="24"/>
        </w:rPr>
        <w:t>, therefore,</w:t>
      </w:r>
      <w:r w:rsidRPr="00FF5C84">
        <w:rPr>
          <w:b w:val="0"/>
          <w:bCs/>
          <w:color w:val="auto"/>
          <w:sz w:val="24"/>
          <w:szCs w:val="24"/>
        </w:rPr>
        <w:t xml:space="preserve"> that these potential conflicts are managed in order to ensure that no actual or perceived conflict of interest arises and that </w:t>
      </w:r>
      <w:r w:rsidR="005272B6" w:rsidRPr="00FF5C84">
        <w:rPr>
          <w:b w:val="0"/>
          <w:bCs/>
          <w:color w:val="auto"/>
          <w:sz w:val="24"/>
          <w:szCs w:val="24"/>
        </w:rPr>
        <w:t>all</w:t>
      </w:r>
      <w:r w:rsidRPr="00FF5C84">
        <w:rPr>
          <w:b w:val="0"/>
          <w:bCs/>
          <w:color w:val="auto"/>
          <w:sz w:val="24"/>
          <w:szCs w:val="24"/>
        </w:rPr>
        <w:t xml:space="preserve"> </w:t>
      </w:r>
      <w:r w:rsidR="00C95C7D" w:rsidRPr="00FF5C84">
        <w:rPr>
          <w:b w:val="0"/>
          <w:bCs/>
          <w:color w:val="auto"/>
          <w:sz w:val="24"/>
          <w:szCs w:val="24"/>
        </w:rPr>
        <w:t>t</w:t>
      </w:r>
      <w:r w:rsidRPr="00FF5C84">
        <w:rPr>
          <w:b w:val="0"/>
          <w:bCs/>
          <w:color w:val="auto"/>
          <w:sz w:val="24"/>
          <w:szCs w:val="24"/>
        </w:rPr>
        <w:t>he Fund’s employers</w:t>
      </w:r>
      <w:r w:rsidR="00E149BD" w:rsidRPr="00FF5C84">
        <w:rPr>
          <w:b w:val="0"/>
          <w:bCs/>
          <w:color w:val="auto"/>
          <w:sz w:val="24"/>
          <w:szCs w:val="24"/>
        </w:rPr>
        <w:t>,</w:t>
      </w:r>
      <w:r w:rsidRPr="00FF5C84">
        <w:rPr>
          <w:b w:val="0"/>
          <w:bCs/>
          <w:color w:val="auto"/>
          <w:sz w:val="24"/>
          <w:szCs w:val="24"/>
        </w:rPr>
        <w:t xml:space="preserve"> scheme members </w:t>
      </w:r>
      <w:r w:rsidR="00E149BD" w:rsidRPr="00FF5C84">
        <w:rPr>
          <w:b w:val="0"/>
          <w:bCs/>
          <w:color w:val="auto"/>
          <w:sz w:val="24"/>
          <w:szCs w:val="24"/>
        </w:rPr>
        <w:t xml:space="preserve">and beneficiaries </w:t>
      </w:r>
      <w:r w:rsidRPr="00FF5C84">
        <w:rPr>
          <w:b w:val="0"/>
          <w:bCs/>
          <w:color w:val="auto"/>
          <w:sz w:val="24"/>
          <w:szCs w:val="24"/>
        </w:rPr>
        <w:t xml:space="preserve">are treated fairly and equitably. </w:t>
      </w:r>
    </w:p>
    <w:p w14:paraId="11B15396" w14:textId="05BBE5B9" w:rsidR="00694347" w:rsidRPr="00FF5C84" w:rsidRDefault="00694347" w:rsidP="00694347">
      <w:pPr>
        <w:pStyle w:val="Heading1Num"/>
        <w:rPr>
          <w:b/>
          <w:bCs/>
          <w:color w:val="auto"/>
          <w:sz w:val="28"/>
          <w:szCs w:val="28"/>
        </w:rPr>
      </w:pPr>
      <w:r w:rsidRPr="00FF5C84">
        <w:rPr>
          <w:b/>
          <w:bCs/>
          <w:color w:val="auto"/>
          <w:sz w:val="28"/>
          <w:szCs w:val="28"/>
        </w:rPr>
        <w:t>Objectives</w:t>
      </w:r>
    </w:p>
    <w:p w14:paraId="786EE394" w14:textId="06DCBC7E" w:rsidR="005D0D56" w:rsidRPr="005D0D56" w:rsidRDefault="00C02DE1" w:rsidP="005D0D56">
      <w:pPr>
        <w:pStyle w:val="Heading2Num"/>
        <w:spacing w:after="240"/>
        <w:rPr>
          <w:b w:val="0"/>
          <w:bCs/>
          <w:color w:val="auto"/>
          <w:sz w:val="24"/>
          <w:szCs w:val="24"/>
        </w:rPr>
      </w:pPr>
      <w:r w:rsidRPr="005D0D56">
        <w:rPr>
          <w:b w:val="0"/>
          <w:bCs/>
          <w:color w:val="auto"/>
          <w:sz w:val="24"/>
          <w:szCs w:val="24"/>
        </w:rPr>
        <w:t xml:space="preserve">To ensure that those involved in the operation of </w:t>
      </w:r>
      <w:r w:rsidR="00C95C7D" w:rsidRPr="005D0D56">
        <w:rPr>
          <w:b w:val="0"/>
          <w:bCs/>
          <w:color w:val="auto"/>
          <w:sz w:val="24"/>
          <w:szCs w:val="24"/>
        </w:rPr>
        <w:t>t</w:t>
      </w:r>
      <w:r w:rsidRPr="005D0D56">
        <w:rPr>
          <w:b w:val="0"/>
          <w:bCs/>
          <w:color w:val="auto"/>
          <w:sz w:val="24"/>
          <w:szCs w:val="24"/>
        </w:rPr>
        <w:t>he Fund</w:t>
      </w:r>
      <w:r w:rsidR="0095704E" w:rsidRPr="005D0D56">
        <w:rPr>
          <w:b w:val="0"/>
          <w:bCs/>
          <w:color w:val="auto"/>
          <w:sz w:val="24"/>
          <w:szCs w:val="24"/>
        </w:rPr>
        <w:t xml:space="preserve"> fulfil their duties under public law to</w:t>
      </w:r>
      <w:r w:rsidRPr="005D0D56">
        <w:rPr>
          <w:b w:val="0"/>
          <w:bCs/>
          <w:color w:val="auto"/>
          <w:sz w:val="24"/>
          <w:szCs w:val="24"/>
        </w:rPr>
        <w:t xml:space="preserve"> </w:t>
      </w:r>
      <w:r w:rsidR="000D4E18" w:rsidRPr="005D0D56">
        <w:rPr>
          <w:b w:val="0"/>
          <w:bCs/>
          <w:color w:val="auto"/>
          <w:sz w:val="24"/>
          <w:szCs w:val="24"/>
        </w:rPr>
        <w:t>act solely in the interests of The Fund’s employers and scheme members</w:t>
      </w:r>
      <w:r w:rsidR="005D0D56">
        <w:rPr>
          <w:b w:val="0"/>
          <w:bCs/>
          <w:color w:val="auto"/>
          <w:sz w:val="24"/>
          <w:szCs w:val="24"/>
        </w:rPr>
        <w:t>.</w:t>
      </w:r>
    </w:p>
    <w:p w14:paraId="0FCB46D5" w14:textId="16F30CAF" w:rsidR="005D0D56" w:rsidRPr="005D0D56" w:rsidRDefault="000D4E18" w:rsidP="005D0D56">
      <w:pPr>
        <w:pStyle w:val="Heading2Num"/>
        <w:spacing w:after="240"/>
        <w:rPr>
          <w:b w:val="0"/>
          <w:bCs/>
          <w:color w:val="auto"/>
          <w:sz w:val="24"/>
          <w:szCs w:val="24"/>
        </w:rPr>
      </w:pPr>
      <w:r w:rsidRPr="005D0D56">
        <w:rPr>
          <w:b w:val="0"/>
          <w:bCs/>
          <w:color w:val="auto"/>
          <w:sz w:val="24"/>
          <w:szCs w:val="24"/>
        </w:rPr>
        <w:t xml:space="preserve">To </w:t>
      </w:r>
      <w:r w:rsidR="00186266" w:rsidRPr="005D0D56">
        <w:rPr>
          <w:b w:val="0"/>
          <w:bCs/>
          <w:color w:val="auto"/>
          <w:sz w:val="24"/>
          <w:szCs w:val="24"/>
        </w:rPr>
        <w:t xml:space="preserve">provide confidence to scheme members, employers, regulators or any other interested parties </w:t>
      </w:r>
      <w:r w:rsidR="00D80345" w:rsidRPr="005D0D56">
        <w:rPr>
          <w:b w:val="0"/>
          <w:bCs/>
          <w:color w:val="auto"/>
          <w:sz w:val="24"/>
          <w:szCs w:val="24"/>
        </w:rPr>
        <w:t xml:space="preserve">that </w:t>
      </w:r>
      <w:r w:rsidR="00A564A9" w:rsidRPr="005D0D56">
        <w:rPr>
          <w:b w:val="0"/>
          <w:bCs/>
          <w:color w:val="auto"/>
          <w:sz w:val="24"/>
          <w:szCs w:val="24"/>
        </w:rPr>
        <w:t xml:space="preserve">those responsible for </w:t>
      </w:r>
      <w:r w:rsidR="00C95C7D" w:rsidRPr="005D0D56">
        <w:rPr>
          <w:b w:val="0"/>
          <w:bCs/>
          <w:color w:val="auto"/>
          <w:sz w:val="24"/>
          <w:szCs w:val="24"/>
        </w:rPr>
        <w:t>t</w:t>
      </w:r>
      <w:r w:rsidR="00D80345" w:rsidRPr="005D0D56">
        <w:rPr>
          <w:b w:val="0"/>
          <w:bCs/>
          <w:color w:val="auto"/>
          <w:sz w:val="24"/>
          <w:szCs w:val="24"/>
        </w:rPr>
        <w:t xml:space="preserve">he Fund </w:t>
      </w:r>
      <w:r w:rsidR="00D85ADD" w:rsidRPr="005D0D56">
        <w:rPr>
          <w:b w:val="0"/>
          <w:bCs/>
          <w:color w:val="auto"/>
          <w:sz w:val="24"/>
          <w:szCs w:val="24"/>
        </w:rPr>
        <w:t>are</w:t>
      </w:r>
      <w:r w:rsidR="00D80345" w:rsidRPr="005D0D56">
        <w:rPr>
          <w:b w:val="0"/>
          <w:bCs/>
          <w:color w:val="auto"/>
          <w:sz w:val="24"/>
          <w:szCs w:val="24"/>
        </w:rPr>
        <w:t xml:space="preserve"> fully committed to identifying, managing and monitoring conflicts of interest</w:t>
      </w:r>
      <w:r w:rsidR="005D0D56">
        <w:rPr>
          <w:b w:val="0"/>
          <w:bCs/>
          <w:color w:val="auto"/>
          <w:sz w:val="24"/>
          <w:szCs w:val="24"/>
        </w:rPr>
        <w:t>.</w:t>
      </w:r>
    </w:p>
    <w:p w14:paraId="7BBDE06E" w14:textId="7F656DB6" w:rsidR="005D0D56" w:rsidRPr="005D0D56" w:rsidRDefault="00D80345" w:rsidP="005D0D56">
      <w:pPr>
        <w:pStyle w:val="Heading2Num"/>
        <w:spacing w:after="240"/>
        <w:rPr>
          <w:b w:val="0"/>
          <w:bCs/>
          <w:color w:val="auto"/>
          <w:sz w:val="24"/>
          <w:szCs w:val="24"/>
        </w:rPr>
      </w:pPr>
      <w:r w:rsidRPr="005D0D56">
        <w:rPr>
          <w:b w:val="0"/>
          <w:bCs/>
          <w:color w:val="auto"/>
          <w:sz w:val="24"/>
          <w:szCs w:val="24"/>
        </w:rPr>
        <w:t xml:space="preserve">To minimise the risk </w:t>
      </w:r>
      <w:r w:rsidR="0016395E" w:rsidRPr="005D0D56">
        <w:rPr>
          <w:b w:val="0"/>
          <w:bCs/>
          <w:color w:val="auto"/>
          <w:sz w:val="24"/>
          <w:szCs w:val="24"/>
        </w:rPr>
        <w:t xml:space="preserve">to </w:t>
      </w:r>
      <w:r w:rsidR="00C95C7D" w:rsidRPr="005D0D56">
        <w:rPr>
          <w:b w:val="0"/>
          <w:bCs/>
          <w:color w:val="auto"/>
          <w:sz w:val="24"/>
          <w:szCs w:val="24"/>
        </w:rPr>
        <w:t>t</w:t>
      </w:r>
      <w:r w:rsidR="0016395E" w:rsidRPr="005D0D56">
        <w:rPr>
          <w:b w:val="0"/>
          <w:bCs/>
          <w:color w:val="auto"/>
          <w:sz w:val="24"/>
          <w:szCs w:val="24"/>
        </w:rPr>
        <w:t xml:space="preserve">he Fund </w:t>
      </w:r>
      <w:r w:rsidRPr="005D0D56">
        <w:rPr>
          <w:b w:val="0"/>
          <w:bCs/>
          <w:color w:val="auto"/>
          <w:sz w:val="24"/>
          <w:szCs w:val="24"/>
        </w:rPr>
        <w:t>that conflicts of interest arise that</w:t>
      </w:r>
      <w:r w:rsidR="0016395E" w:rsidRPr="005D0D56">
        <w:rPr>
          <w:b w:val="0"/>
          <w:bCs/>
          <w:color w:val="auto"/>
          <w:sz w:val="24"/>
          <w:szCs w:val="24"/>
        </w:rPr>
        <w:t xml:space="preserve"> prejudice good decision making or any other aspect of the good management of </w:t>
      </w:r>
      <w:r w:rsidR="0091161F" w:rsidRPr="005D0D56">
        <w:rPr>
          <w:b w:val="0"/>
          <w:bCs/>
          <w:color w:val="auto"/>
          <w:sz w:val="24"/>
          <w:szCs w:val="24"/>
        </w:rPr>
        <w:t>t</w:t>
      </w:r>
      <w:r w:rsidR="0016395E" w:rsidRPr="005D0D56">
        <w:rPr>
          <w:b w:val="0"/>
          <w:bCs/>
          <w:color w:val="auto"/>
          <w:sz w:val="24"/>
          <w:szCs w:val="24"/>
        </w:rPr>
        <w:t>he Fund</w:t>
      </w:r>
      <w:r w:rsidR="005D0D56">
        <w:rPr>
          <w:b w:val="0"/>
          <w:bCs/>
          <w:color w:val="auto"/>
          <w:sz w:val="24"/>
          <w:szCs w:val="24"/>
        </w:rPr>
        <w:t>.</w:t>
      </w:r>
    </w:p>
    <w:p w14:paraId="052A4736" w14:textId="75EC0CD9" w:rsidR="0016395E" w:rsidRPr="005D0D56" w:rsidRDefault="0016395E" w:rsidP="005D0D56">
      <w:pPr>
        <w:pStyle w:val="Heading2Num"/>
        <w:spacing w:after="240"/>
        <w:rPr>
          <w:b w:val="0"/>
          <w:bCs/>
          <w:color w:val="auto"/>
          <w:sz w:val="24"/>
          <w:szCs w:val="24"/>
        </w:rPr>
      </w:pPr>
      <w:r w:rsidRPr="005D0D56">
        <w:rPr>
          <w:b w:val="0"/>
          <w:bCs/>
          <w:color w:val="auto"/>
          <w:sz w:val="24"/>
          <w:szCs w:val="24"/>
        </w:rPr>
        <w:t xml:space="preserve">To promote openness, transparency and a commitment to the Seven Principles of Public Life in </w:t>
      </w:r>
      <w:r w:rsidR="00E106A8" w:rsidRPr="005D0D56">
        <w:rPr>
          <w:b w:val="0"/>
          <w:bCs/>
          <w:color w:val="auto"/>
          <w:sz w:val="24"/>
          <w:szCs w:val="24"/>
        </w:rPr>
        <w:t xml:space="preserve">all aspects of </w:t>
      </w:r>
      <w:r w:rsidR="0091161F" w:rsidRPr="005D0D56">
        <w:rPr>
          <w:b w:val="0"/>
          <w:bCs/>
          <w:color w:val="auto"/>
          <w:sz w:val="24"/>
          <w:szCs w:val="24"/>
        </w:rPr>
        <w:t>t</w:t>
      </w:r>
      <w:r w:rsidR="00E106A8" w:rsidRPr="005D0D56">
        <w:rPr>
          <w:b w:val="0"/>
          <w:bCs/>
          <w:color w:val="auto"/>
          <w:sz w:val="24"/>
          <w:szCs w:val="24"/>
        </w:rPr>
        <w:t xml:space="preserve">he Fund’s business. </w:t>
      </w:r>
    </w:p>
    <w:p w14:paraId="61D3028E" w14:textId="5B1A93AA" w:rsidR="00A564A9" w:rsidRPr="00FF5C84" w:rsidRDefault="00A564A9" w:rsidP="00A564A9">
      <w:pPr>
        <w:pStyle w:val="Heading1Num"/>
        <w:rPr>
          <w:b/>
          <w:bCs/>
          <w:color w:val="auto"/>
          <w:sz w:val="28"/>
          <w:szCs w:val="28"/>
        </w:rPr>
      </w:pPr>
      <w:r w:rsidRPr="00FF5C84">
        <w:rPr>
          <w:b/>
          <w:bCs/>
          <w:color w:val="auto"/>
          <w:sz w:val="28"/>
          <w:szCs w:val="28"/>
        </w:rPr>
        <w:t xml:space="preserve">Application of this policy </w:t>
      </w:r>
    </w:p>
    <w:p w14:paraId="4432F449" w14:textId="448A6CC9" w:rsidR="00FF5C84" w:rsidRPr="00FF5C84" w:rsidRDefault="00A564A9" w:rsidP="00FF5C84">
      <w:pPr>
        <w:pStyle w:val="Heading2Num"/>
        <w:spacing w:after="240"/>
        <w:rPr>
          <w:b w:val="0"/>
          <w:bCs/>
          <w:color w:val="auto"/>
          <w:sz w:val="24"/>
          <w:szCs w:val="24"/>
        </w:rPr>
      </w:pPr>
      <w:r w:rsidRPr="00FF5C84">
        <w:rPr>
          <w:b w:val="0"/>
          <w:bCs/>
          <w:color w:val="auto"/>
          <w:sz w:val="24"/>
          <w:szCs w:val="24"/>
        </w:rPr>
        <w:t xml:space="preserve">This policy applies to all members of the </w:t>
      </w:r>
      <w:r w:rsidR="00FF5C84" w:rsidRPr="00FF5C84">
        <w:rPr>
          <w:b w:val="0"/>
          <w:bCs/>
          <w:color w:val="auto"/>
          <w:sz w:val="24"/>
          <w:szCs w:val="24"/>
        </w:rPr>
        <w:t xml:space="preserve">London Borough of Harrow </w:t>
      </w:r>
      <w:r w:rsidR="00497A0B" w:rsidRPr="00FF5C84">
        <w:rPr>
          <w:b w:val="0"/>
          <w:bCs/>
          <w:color w:val="auto"/>
          <w:sz w:val="24"/>
          <w:szCs w:val="24"/>
        </w:rPr>
        <w:t xml:space="preserve"> </w:t>
      </w:r>
      <w:r w:rsidR="00FF5C84" w:rsidRPr="00FF5C84">
        <w:rPr>
          <w:b w:val="0"/>
          <w:bCs/>
          <w:color w:val="auto"/>
          <w:sz w:val="24"/>
          <w:szCs w:val="24"/>
        </w:rPr>
        <w:t>P</w:t>
      </w:r>
      <w:r w:rsidRPr="00FF5C84">
        <w:rPr>
          <w:b w:val="0"/>
          <w:bCs/>
          <w:color w:val="auto"/>
          <w:sz w:val="24"/>
          <w:szCs w:val="24"/>
        </w:rPr>
        <w:t xml:space="preserve">ension </w:t>
      </w:r>
      <w:r w:rsidR="00FF5C84" w:rsidRPr="00FF5C84">
        <w:rPr>
          <w:b w:val="0"/>
          <w:bCs/>
          <w:color w:val="auto"/>
          <w:sz w:val="24"/>
          <w:szCs w:val="24"/>
        </w:rPr>
        <w:t>Fund C</w:t>
      </w:r>
      <w:r w:rsidRPr="00FF5C84">
        <w:rPr>
          <w:b w:val="0"/>
          <w:bCs/>
          <w:color w:val="auto"/>
          <w:sz w:val="24"/>
          <w:szCs w:val="24"/>
        </w:rPr>
        <w:t xml:space="preserve">ommittee, </w:t>
      </w:r>
      <w:r w:rsidR="00FF5C84" w:rsidRPr="00FF5C84">
        <w:rPr>
          <w:b w:val="0"/>
          <w:bCs/>
          <w:color w:val="auto"/>
          <w:sz w:val="24"/>
          <w:szCs w:val="24"/>
        </w:rPr>
        <w:t xml:space="preserve">the </w:t>
      </w:r>
      <w:r w:rsidRPr="00FF5C84">
        <w:rPr>
          <w:b w:val="0"/>
          <w:bCs/>
          <w:color w:val="auto"/>
          <w:sz w:val="24"/>
          <w:szCs w:val="24"/>
        </w:rPr>
        <w:t xml:space="preserve">local </w:t>
      </w:r>
      <w:r w:rsidR="00FF5C84" w:rsidRPr="00FF5C84">
        <w:rPr>
          <w:b w:val="0"/>
          <w:bCs/>
          <w:color w:val="auto"/>
          <w:sz w:val="24"/>
          <w:szCs w:val="24"/>
        </w:rPr>
        <w:t>P</w:t>
      </w:r>
      <w:r w:rsidRPr="00FF5C84">
        <w:rPr>
          <w:b w:val="0"/>
          <w:bCs/>
          <w:color w:val="auto"/>
          <w:sz w:val="24"/>
          <w:szCs w:val="24"/>
        </w:rPr>
        <w:t xml:space="preserve">ension </w:t>
      </w:r>
      <w:r w:rsidR="00FF5C84" w:rsidRPr="00FF5C84">
        <w:rPr>
          <w:b w:val="0"/>
          <w:bCs/>
          <w:color w:val="auto"/>
          <w:sz w:val="24"/>
          <w:szCs w:val="24"/>
        </w:rPr>
        <w:t>B</w:t>
      </w:r>
      <w:r w:rsidRPr="00FF5C84">
        <w:rPr>
          <w:b w:val="0"/>
          <w:bCs/>
          <w:color w:val="auto"/>
          <w:sz w:val="24"/>
          <w:szCs w:val="24"/>
        </w:rPr>
        <w:t xml:space="preserve">oard, </w:t>
      </w:r>
      <w:r w:rsidR="0078480E" w:rsidRPr="00FF5C84">
        <w:rPr>
          <w:b w:val="0"/>
          <w:bCs/>
          <w:color w:val="auto"/>
          <w:sz w:val="24"/>
          <w:szCs w:val="24"/>
        </w:rPr>
        <w:t xml:space="preserve">Section 151 officer, </w:t>
      </w:r>
      <w:r w:rsidRPr="00FF5C84">
        <w:rPr>
          <w:b w:val="0"/>
          <w:bCs/>
          <w:color w:val="auto"/>
          <w:sz w:val="24"/>
          <w:szCs w:val="24"/>
        </w:rPr>
        <w:t xml:space="preserve">officers </w:t>
      </w:r>
      <w:r w:rsidR="00C06686" w:rsidRPr="00FF5C84">
        <w:rPr>
          <w:b w:val="0"/>
          <w:bCs/>
          <w:color w:val="auto"/>
          <w:sz w:val="24"/>
          <w:szCs w:val="24"/>
        </w:rPr>
        <w:t xml:space="preserve">who </w:t>
      </w:r>
      <w:r w:rsidR="0078480E" w:rsidRPr="00FF5C84">
        <w:rPr>
          <w:b w:val="0"/>
          <w:bCs/>
          <w:color w:val="auto"/>
          <w:sz w:val="24"/>
          <w:szCs w:val="24"/>
        </w:rPr>
        <w:t xml:space="preserve">carry out functions on behalf of the Pension </w:t>
      </w:r>
      <w:r w:rsidR="00FF5C84" w:rsidRPr="00FF5C84">
        <w:rPr>
          <w:b w:val="0"/>
          <w:bCs/>
          <w:color w:val="auto"/>
          <w:sz w:val="24"/>
          <w:szCs w:val="24"/>
        </w:rPr>
        <w:t xml:space="preserve">Fund </w:t>
      </w:r>
      <w:r w:rsidR="0078480E" w:rsidRPr="00FF5C84">
        <w:rPr>
          <w:b w:val="0"/>
          <w:bCs/>
          <w:color w:val="auto"/>
          <w:sz w:val="24"/>
          <w:szCs w:val="24"/>
        </w:rPr>
        <w:t>Committee</w:t>
      </w:r>
      <w:r w:rsidRPr="00FF5C84">
        <w:rPr>
          <w:b w:val="0"/>
          <w:bCs/>
          <w:color w:val="auto"/>
          <w:sz w:val="24"/>
          <w:szCs w:val="24"/>
        </w:rPr>
        <w:t xml:space="preserve"> and any third parties providing advice or services to the Fund</w:t>
      </w:r>
      <w:r w:rsidR="00FF5C84" w:rsidRPr="00FF5C84">
        <w:rPr>
          <w:b w:val="0"/>
          <w:bCs/>
          <w:color w:val="auto"/>
          <w:sz w:val="24"/>
          <w:szCs w:val="24"/>
        </w:rPr>
        <w:t>.</w:t>
      </w:r>
    </w:p>
    <w:p w14:paraId="6F79CFBE" w14:textId="16067DD8" w:rsidR="00FF5C84" w:rsidRPr="00FF5C84" w:rsidRDefault="00EF050F" w:rsidP="00FF5C84">
      <w:pPr>
        <w:pStyle w:val="Heading2Num"/>
        <w:spacing w:after="240"/>
        <w:rPr>
          <w:b w:val="0"/>
          <w:bCs/>
          <w:color w:val="auto"/>
          <w:sz w:val="24"/>
          <w:szCs w:val="24"/>
        </w:rPr>
      </w:pPr>
      <w:r w:rsidRPr="00FF5C84">
        <w:rPr>
          <w:b w:val="0"/>
          <w:bCs/>
          <w:color w:val="auto"/>
          <w:sz w:val="24"/>
          <w:szCs w:val="24"/>
        </w:rPr>
        <w:t>Every individual covered by this policy must take individual responsibility for the management of potential conflicts of interest</w:t>
      </w:r>
      <w:r w:rsidR="00FF5C84">
        <w:rPr>
          <w:b w:val="0"/>
          <w:bCs/>
          <w:color w:val="auto"/>
          <w:sz w:val="24"/>
          <w:szCs w:val="24"/>
        </w:rPr>
        <w:t>.</w:t>
      </w:r>
    </w:p>
    <w:p w14:paraId="14D643C2" w14:textId="701D5513" w:rsidR="00FF5C84" w:rsidRPr="00FF5C84" w:rsidRDefault="00EF050F" w:rsidP="00FF5C84">
      <w:pPr>
        <w:pStyle w:val="Heading2Num"/>
        <w:spacing w:after="240"/>
        <w:rPr>
          <w:b w:val="0"/>
          <w:bCs/>
          <w:color w:val="auto"/>
          <w:sz w:val="24"/>
          <w:szCs w:val="24"/>
        </w:rPr>
      </w:pPr>
      <w:r w:rsidRPr="00FF5C84">
        <w:rPr>
          <w:b w:val="0"/>
          <w:bCs/>
          <w:color w:val="auto"/>
          <w:sz w:val="24"/>
          <w:szCs w:val="24"/>
        </w:rPr>
        <w:t xml:space="preserve">The </w:t>
      </w:r>
      <w:r w:rsidR="00FF5C84">
        <w:rPr>
          <w:b w:val="0"/>
          <w:bCs/>
          <w:color w:val="auto"/>
          <w:sz w:val="24"/>
          <w:szCs w:val="24"/>
        </w:rPr>
        <w:t>Treasury and Pensions Manager</w:t>
      </w:r>
      <w:r w:rsidR="00F92FD7" w:rsidRPr="00FF5C84">
        <w:rPr>
          <w:b w:val="0"/>
          <w:bCs/>
          <w:color w:val="auto"/>
          <w:sz w:val="24"/>
          <w:szCs w:val="24"/>
        </w:rPr>
        <w:t xml:space="preserve"> </w:t>
      </w:r>
      <w:r w:rsidRPr="00FF5C84">
        <w:rPr>
          <w:b w:val="0"/>
          <w:bCs/>
          <w:color w:val="auto"/>
          <w:sz w:val="24"/>
          <w:szCs w:val="24"/>
        </w:rPr>
        <w:t>will be responsible for ensuring that this policy is adhered to and that any processes for managing conflicts of interest are followed</w:t>
      </w:r>
      <w:r w:rsidR="00FF5C84">
        <w:rPr>
          <w:b w:val="0"/>
          <w:bCs/>
          <w:color w:val="auto"/>
          <w:sz w:val="24"/>
          <w:szCs w:val="24"/>
        </w:rPr>
        <w:t xml:space="preserve">. </w:t>
      </w:r>
    </w:p>
    <w:p w14:paraId="3514B372" w14:textId="3C81950A" w:rsidR="00EF050F" w:rsidRPr="00FF5C84" w:rsidRDefault="00EF050F" w:rsidP="00EF050F">
      <w:pPr>
        <w:pStyle w:val="Heading2Num"/>
        <w:rPr>
          <w:b w:val="0"/>
          <w:bCs/>
          <w:color w:val="auto"/>
          <w:sz w:val="24"/>
          <w:szCs w:val="24"/>
        </w:rPr>
      </w:pPr>
      <w:r w:rsidRPr="00FF5C84">
        <w:rPr>
          <w:b w:val="0"/>
          <w:bCs/>
          <w:color w:val="auto"/>
          <w:sz w:val="24"/>
          <w:szCs w:val="24"/>
        </w:rPr>
        <w:lastRenderedPageBreak/>
        <w:t xml:space="preserve">In any situation where the </w:t>
      </w:r>
      <w:r w:rsidR="00FF5C84">
        <w:rPr>
          <w:b w:val="0"/>
          <w:bCs/>
          <w:color w:val="auto"/>
          <w:sz w:val="24"/>
          <w:szCs w:val="24"/>
        </w:rPr>
        <w:t>Treasury and Pensions Manager</w:t>
      </w:r>
      <w:r w:rsidRPr="00FF5C84">
        <w:rPr>
          <w:b w:val="0"/>
          <w:bCs/>
          <w:color w:val="auto"/>
          <w:sz w:val="24"/>
          <w:szCs w:val="24"/>
        </w:rPr>
        <w:t xml:space="preserve"> may have a potential or actual conflict of interest, the responsibility for ensuring that this policy is adhered to and that any relevant processes are followed shall lie with the monitoring officer for</w:t>
      </w:r>
      <w:r w:rsidR="0022034A" w:rsidRPr="00FF5C84">
        <w:rPr>
          <w:b w:val="0"/>
          <w:bCs/>
          <w:color w:val="auto"/>
          <w:sz w:val="24"/>
          <w:szCs w:val="24"/>
        </w:rPr>
        <w:t xml:space="preserve"> </w:t>
      </w:r>
      <w:r w:rsidR="00FF5C84" w:rsidRPr="00FF5C84">
        <w:rPr>
          <w:b w:val="0"/>
          <w:bCs/>
          <w:color w:val="auto"/>
          <w:sz w:val="24"/>
          <w:szCs w:val="24"/>
        </w:rPr>
        <w:t xml:space="preserve">the </w:t>
      </w:r>
      <w:r w:rsidR="00497A0B" w:rsidRPr="00FF5C84">
        <w:rPr>
          <w:b w:val="0"/>
          <w:bCs/>
          <w:color w:val="auto"/>
          <w:sz w:val="24"/>
          <w:szCs w:val="24"/>
        </w:rPr>
        <w:t xml:space="preserve"> Council</w:t>
      </w:r>
      <w:r w:rsidRPr="00FF5C84">
        <w:rPr>
          <w:b w:val="0"/>
          <w:bCs/>
          <w:color w:val="auto"/>
          <w:sz w:val="24"/>
          <w:szCs w:val="24"/>
        </w:rPr>
        <w:t>.</w:t>
      </w:r>
    </w:p>
    <w:p w14:paraId="52A4B212" w14:textId="77777777" w:rsidR="000B48C8" w:rsidRPr="00FF5C84" w:rsidRDefault="000B48C8" w:rsidP="000B48C8">
      <w:pPr>
        <w:pStyle w:val="BodyTextGrey"/>
        <w:ind w:left="720"/>
        <w:rPr>
          <w:sz w:val="24"/>
          <w:szCs w:val="24"/>
        </w:rPr>
      </w:pPr>
    </w:p>
    <w:p w14:paraId="1D327645" w14:textId="30F39263" w:rsidR="00E106A8" w:rsidRPr="005D0D56" w:rsidRDefault="00E106A8" w:rsidP="00E106A8">
      <w:pPr>
        <w:pStyle w:val="Heading1Num"/>
        <w:rPr>
          <w:b/>
          <w:bCs/>
          <w:color w:val="auto"/>
          <w:sz w:val="28"/>
          <w:szCs w:val="28"/>
        </w:rPr>
      </w:pPr>
      <w:r w:rsidRPr="005D0D56">
        <w:rPr>
          <w:b/>
          <w:bCs/>
          <w:color w:val="auto"/>
          <w:sz w:val="28"/>
          <w:szCs w:val="28"/>
        </w:rPr>
        <w:t xml:space="preserve">Defining Conflicts of Interest </w:t>
      </w:r>
    </w:p>
    <w:p w14:paraId="081CEBBD" w14:textId="77777777" w:rsidR="005D0D56" w:rsidRPr="005D0D56" w:rsidRDefault="00E106A8" w:rsidP="005D0D56">
      <w:pPr>
        <w:pStyle w:val="Heading2Num"/>
        <w:rPr>
          <w:b w:val="0"/>
          <w:bCs/>
          <w:i/>
          <w:iCs w:val="0"/>
          <w:color w:val="auto"/>
          <w:sz w:val="24"/>
          <w:szCs w:val="24"/>
        </w:rPr>
      </w:pPr>
      <w:r w:rsidRPr="005D0D56">
        <w:rPr>
          <w:b w:val="0"/>
          <w:bCs/>
          <w:color w:val="auto"/>
          <w:sz w:val="24"/>
          <w:szCs w:val="24"/>
        </w:rPr>
        <w:t>The Fund has adopted the definition of conflict of interest defined in The Public Service Pensions Act 2013</w:t>
      </w:r>
      <w:r w:rsidR="000B48C8" w:rsidRPr="005D0D56">
        <w:rPr>
          <w:rStyle w:val="FootnoteReference"/>
          <w:b w:val="0"/>
          <w:bCs/>
          <w:color w:val="auto"/>
          <w:sz w:val="24"/>
          <w:szCs w:val="24"/>
        </w:rPr>
        <w:footnoteReference w:id="2"/>
      </w:r>
      <w:r w:rsidR="0095704E" w:rsidRPr="005D0D56">
        <w:rPr>
          <w:b w:val="0"/>
          <w:bCs/>
          <w:color w:val="auto"/>
          <w:sz w:val="24"/>
          <w:szCs w:val="24"/>
        </w:rPr>
        <w:t>;</w:t>
      </w:r>
    </w:p>
    <w:p w14:paraId="5601930E" w14:textId="1A13F7BB" w:rsidR="005D0D56" w:rsidRPr="005D0D56" w:rsidRDefault="000B48C8" w:rsidP="005D0D56">
      <w:pPr>
        <w:pStyle w:val="Heading2Num"/>
        <w:numPr>
          <w:ilvl w:val="0"/>
          <w:numId w:val="0"/>
        </w:numPr>
        <w:spacing w:after="240"/>
        <w:ind w:left="720"/>
        <w:rPr>
          <w:b w:val="0"/>
          <w:bCs/>
          <w:i/>
          <w:iCs w:val="0"/>
          <w:color w:val="auto"/>
          <w:sz w:val="24"/>
          <w:szCs w:val="24"/>
        </w:rPr>
      </w:pPr>
      <w:r w:rsidRPr="005D0D56">
        <w:rPr>
          <w:b w:val="0"/>
          <w:bCs/>
          <w:i/>
          <w:iCs w:val="0"/>
          <w:color w:val="auto"/>
          <w:sz w:val="24"/>
          <w:szCs w:val="24"/>
        </w:rPr>
        <w:t>“conflict of interest” , in relation to a person, means a financial or other interest which is likely to prejudice the person's exercise of functions as a member of the board (but does not include a financial or other interest arising merely by virtue of membership of the </w:t>
      </w:r>
      <w:hyperlink r:id="rId15" w:anchor="act-pspa2013-li-37.1.36" w:history="1">
        <w:r w:rsidRPr="005D0D56">
          <w:rPr>
            <w:b w:val="0"/>
            <w:bCs/>
            <w:i/>
            <w:iCs w:val="0"/>
            <w:color w:val="auto"/>
            <w:sz w:val="24"/>
            <w:szCs w:val="24"/>
          </w:rPr>
          <w:t>scheme</w:t>
        </w:r>
      </w:hyperlink>
      <w:r w:rsidRPr="005D0D56">
        <w:rPr>
          <w:b w:val="0"/>
          <w:bCs/>
          <w:i/>
          <w:iCs w:val="0"/>
          <w:color w:val="auto"/>
          <w:sz w:val="24"/>
          <w:szCs w:val="24"/>
        </w:rPr>
        <w:t> or any </w:t>
      </w:r>
      <w:hyperlink r:id="rId16" w:anchor="act-pspa2013-li-37.1.7" w:history="1">
        <w:r w:rsidRPr="005D0D56">
          <w:rPr>
            <w:b w:val="0"/>
            <w:bCs/>
            <w:i/>
            <w:iCs w:val="0"/>
            <w:color w:val="auto"/>
            <w:sz w:val="24"/>
            <w:szCs w:val="24"/>
          </w:rPr>
          <w:t>connected</w:t>
        </w:r>
      </w:hyperlink>
      <w:r w:rsidRPr="005D0D56">
        <w:rPr>
          <w:b w:val="0"/>
          <w:bCs/>
          <w:i/>
          <w:iCs w:val="0"/>
          <w:color w:val="auto"/>
          <w:sz w:val="24"/>
          <w:szCs w:val="24"/>
        </w:rPr>
        <w:t> </w:t>
      </w:r>
      <w:hyperlink r:id="rId17" w:anchor="act-pspa2013-li-37.1.36" w:history="1">
        <w:r w:rsidRPr="005D0D56">
          <w:rPr>
            <w:b w:val="0"/>
            <w:bCs/>
            <w:i/>
            <w:iCs w:val="0"/>
            <w:color w:val="auto"/>
            <w:sz w:val="24"/>
            <w:szCs w:val="24"/>
          </w:rPr>
          <w:t>scheme</w:t>
        </w:r>
      </w:hyperlink>
      <w:r w:rsidRPr="005D0D56">
        <w:rPr>
          <w:b w:val="0"/>
          <w:bCs/>
          <w:i/>
          <w:iCs w:val="0"/>
          <w:color w:val="auto"/>
          <w:sz w:val="24"/>
          <w:szCs w:val="24"/>
        </w:rPr>
        <w:t>)</w:t>
      </w:r>
      <w:r w:rsidR="005D0D56">
        <w:rPr>
          <w:b w:val="0"/>
          <w:bCs/>
          <w:i/>
          <w:iCs w:val="0"/>
          <w:color w:val="auto"/>
          <w:sz w:val="24"/>
          <w:szCs w:val="24"/>
        </w:rPr>
        <w:t>.</w:t>
      </w:r>
    </w:p>
    <w:p w14:paraId="45B40CA5" w14:textId="58D2625A" w:rsidR="00565EA9" w:rsidRPr="005D0D56" w:rsidRDefault="00565EA9" w:rsidP="00694347">
      <w:pPr>
        <w:pStyle w:val="Heading2Num"/>
        <w:rPr>
          <w:b w:val="0"/>
          <w:bCs/>
          <w:color w:val="auto"/>
          <w:sz w:val="24"/>
          <w:szCs w:val="24"/>
        </w:rPr>
      </w:pPr>
      <w:r w:rsidRPr="005D0D56">
        <w:rPr>
          <w:b w:val="0"/>
          <w:bCs/>
          <w:color w:val="auto"/>
          <w:sz w:val="24"/>
          <w:szCs w:val="24"/>
        </w:rPr>
        <w:t xml:space="preserve">In addition to this policy there are other legal requirements which are also relevant to </w:t>
      </w:r>
      <w:r w:rsidR="00576FA5" w:rsidRPr="005D0D56">
        <w:rPr>
          <w:b w:val="0"/>
          <w:bCs/>
          <w:color w:val="auto"/>
          <w:sz w:val="24"/>
          <w:szCs w:val="24"/>
        </w:rPr>
        <w:t>t</w:t>
      </w:r>
      <w:r w:rsidRPr="005D0D56">
        <w:rPr>
          <w:b w:val="0"/>
          <w:bCs/>
          <w:color w:val="auto"/>
          <w:sz w:val="24"/>
          <w:szCs w:val="24"/>
        </w:rPr>
        <w:t>he Fund’s management of conflicts of interest, these include;</w:t>
      </w:r>
    </w:p>
    <w:p w14:paraId="78F654A7" w14:textId="029A9575" w:rsidR="00746DB2" w:rsidRPr="005D0D56" w:rsidRDefault="00565EA9" w:rsidP="007A142D">
      <w:pPr>
        <w:pStyle w:val="BodyTextGrey"/>
        <w:numPr>
          <w:ilvl w:val="0"/>
          <w:numId w:val="17"/>
        </w:numPr>
        <w:rPr>
          <w:sz w:val="24"/>
          <w:szCs w:val="24"/>
        </w:rPr>
      </w:pPr>
      <w:r w:rsidRPr="005D0D56">
        <w:rPr>
          <w:sz w:val="24"/>
          <w:szCs w:val="24"/>
        </w:rPr>
        <w:t>Regulation 108 of The LGPS Regulations</w:t>
      </w:r>
      <w:r w:rsidR="00B83A25" w:rsidRPr="005D0D56">
        <w:rPr>
          <w:sz w:val="24"/>
          <w:szCs w:val="24"/>
        </w:rPr>
        <w:t xml:space="preserve"> 2013</w:t>
      </w:r>
      <w:r w:rsidRPr="005D0D56">
        <w:rPr>
          <w:sz w:val="24"/>
          <w:szCs w:val="24"/>
        </w:rPr>
        <w:t>, which places duties on</w:t>
      </w:r>
      <w:r w:rsidR="00102262">
        <w:rPr>
          <w:sz w:val="24"/>
          <w:szCs w:val="24"/>
        </w:rPr>
        <w:t xml:space="preserve"> the</w:t>
      </w:r>
      <w:r w:rsidR="00B83A25" w:rsidRPr="005D0D56">
        <w:rPr>
          <w:sz w:val="24"/>
          <w:szCs w:val="24"/>
          <w:highlight w:val="lightGray"/>
        </w:rPr>
        <w:t xml:space="preserve"> </w:t>
      </w:r>
      <w:r w:rsidR="00B83A25" w:rsidRPr="00102262">
        <w:rPr>
          <w:sz w:val="24"/>
          <w:szCs w:val="24"/>
        </w:rPr>
        <w:t>Council, as</w:t>
      </w:r>
      <w:r w:rsidR="00B83A25" w:rsidRPr="005D0D56">
        <w:rPr>
          <w:sz w:val="24"/>
          <w:szCs w:val="24"/>
        </w:rPr>
        <w:t xml:space="preserve"> the administering authority to the Fund, </w:t>
      </w:r>
      <w:r w:rsidRPr="005D0D56">
        <w:rPr>
          <w:sz w:val="24"/>
          <w:szCs w:val="24"/>
        </w:rPr>
        <w:t xml:space="preserve">to </w:t>
      </w:r>
      <w:r w:rsidR="00B83A25" w:rsidRPr="005D0D56">
        <w:rPr>
          <w:sz w:val="24"/>
          <w:szCs w:val="24"/>
        </w:rPr>
        <w:t>be satisfied</w:t>
      </w:r>
      <w:r w:rsidRPr="005D0D56">
        <w:rPr>
          <w:sz w:val="24"/>
          <w:szCs w:val="24"/>
        </w:rPr>
        <w:t xml:space="preserve"> that Local Pension Board members do not have conflicts of interest on appointment </w:t>
      </w:r>
      <w:r w:rsidR="00B83A25" w:rsidRPr="005D0D56">
        <w:rPr>
          <w:sz w:val="24"/>
          <w:szCs w:val="24"/>
        </w:rPr>
        <w:t xml:space="preserve">to, or </w:t>
      </w:r>
      <w:r w:rsidRPr="005D0D56">
        <w:rPr>
          <w:sz w:val="24"/>
          <w:szCs w:val="24"/>
        </w:rPr>
        <w:t>whilst</w:t>
      </w:r>
      <w:r w:rsidR="00B83A25" w:rsidRPr="005D0D56">
        <w:rPr>
          <w:sz w:val="24"/>
          <w:szCs w:val="24"/>
        </w:rPr>
        <w:t xml:space="preserve"> a member of, </w:t>
      </w:r>
      <w:r w:rsidRPr="005D0D56">
        <w:rPr>
          <w:sz w:val="24"/>
          <w:szCs w:val="24"/>
        </w:rPr>
        <w:t>the Board</w:t>
      </w:r>
      <w:r w:rsidR="00B83A25" w:rsidRPr="005D0D56">
        <w:rPr>
          <w:sz w:val="24"/>
          <w:szCs w:val="24"/>
        </w:rPr>
        <w:t>.</w:t>
      </w:r>
    </w:p>
    <w:p w14:paraId="16CFC1A0" w14:textId="6BE7FB89" w:rsidR="00E106A8" w:rsidRPr="005D0D56" w:rsidRDefault="00746DB2" w:rsidP="007A142D">
      <w:pPr>
        <w:pStyle w:val="BodyTextGrey"/>
        <w:numPr>
          <w:ilvl w:val="0"/>
          <w:numId w:val="17"/>
        </w:numPr>
        <w:rPr>
          <w:sz w:val="24"/>
          <w:szCs w:val="24"/>
        </w:rPr>
      </w:pPr>
      <w:r w:rsidRPr="005D0D56">
        <w:rPr>
          <w:sz w:val="24"/>
          <w:szCs w:val="24"/>
        </w:rPr>
        <w:t>The Localism Act 2011</w:t>
      </w:r>
      <w:r w:rsidRPr="005D0D56">
        <w:rPr>
          <w:rStyle w:val="FootnoteReference"/>
          <w:sz w:val="24"/>
          <w:szCs w:val="24"/>
        </w:rPr>
        <w:footnoteReference w:id="3"/>
      </w:r>
      <w:r w:rsidR="00565EA9" w:rsidRPr="005D0D56">
        <w:rPr>
          <w:sz w:val="24"/>
          <w:szCs w:val="24"/>
        </w:rPr>
        <w:t xml:space="preserve"> </w:t>
      </w:r>
      <w:r w:rsidRPr="005D0D56">
        <w:rPr>
          <w:sz w:val="24"/>
          <w:szCs w:val="24"/>
        </w:rPr>
        <w:t xml:space="preserve">requires elected members to comply with their own authority’s code of conduct and to declare pecuniary interest and interests other than pecuniary interests. </w:t>
      </w:r>
    </w:p>
    <w:p w14:paraId="3DA9A0DE" w14:textId="4F109979" w:rsidR="00746DB2" w:rsidRPr="005D0D56" w:rsidRDefault="00746DB2" w:rsidP="007A142D">
      <w:pPr>
        <w:pStyle w:val="BodyTextGrey"/>
        <w:numPr>
          <w:ilvl w:val="0"/>
          <w:numId w:val="17"/>
        </w:numPr>
        <w:rPr>
          <w:sz w:val="24"/>
          <w:szCs w:val="24"/>
        </w:rPr>
      </w:pPr>
      <w:r w:rsidRPr="005D0D56">
        <w:rPr>
          <w:sz w:val="24"/>
          <w:szCs w:val="24"/>
        </w:rPr>
        <w:t>The ‘Seven Principles of Public Life’, also known as the ‘Nolan Principles’, with which any holder of public office is also expected to comply.  These are;</w:t>
      </w:r>
    </w:p>
    <w:p w14:paraId="3448EAE7" w14:textId="21471C4A" w:rsidR="00746DB2" w:rsidRPr="005D0D56" w:rsidRDefault="00746DB2" w:rsidP="007A142D">
      <w:pPr>
        <w:pStyle w:val="BodyTextGrey"/>
        <w:ind w:left="1440"/>
        <w:rPr>
          <w:sz w:val="24"/>
          <w:szCs w:val="24"/>
        </w:rPr>
      </w:pPr>
      <w:r w:rsidRPr="005D0D56">
        <w:rPr>
          <w:b/>
          <w:bCs/>
          <w:sz w:val="24"/>
          <w:szCs w:val="24"/>
        </w:rPr>
        <w:t>Selflessness</w:t>
      </w:r>
      <w:r w:rsidRPr="005D0D56">
        <w:rPr>
          <w:sz w:val="24"/>
          <w:szCs w:val="24"/>
        </w:rPr>
        <w:t xml:space="preserve"> </w:t>
      </w:r>
      <w:r w:rsidR="005D0D56">
        <w:rPr>
          <w:sz w:val="24"/>
          <w:szCs w:val="24"/>
        </w:rPr>
        <w:t xml:space="preserve">- </w:t>
      </w:r>
      <w:r w:rsidRPr="005D0D56">
        <w:rPr>
          <w:sz w:val="24"/>
          <w:szCs w:val="24"/>
        </w:rPr>
        <w:t xml:space="preserve">Holders of public office should act solely in terms of the public interest. </w:t>
      </w:r>
    </w:p>
    <w:p w14:paraId="6D65D13C" w14:textId="5F4056F3" w:rsidR="00746DB2" w:rsidRPr="005D0D56" w:rsidRDefault="00746DB2" w:rsidP="007A142D">
      <w:pPr>
        <w:pStyle w:val="BodyTextGrey"/>
        <w:ind w:left="1440"/>
        <w:rPr>
          <w:sz w:val="24"/>
          <w:szCs w:val="24"/>
        </w:rPr>
      </w:pPr>
      <w:r w:rsidRPr="005D0D56">
        <w:rPr>
          <w:b/>
          <w:bCs/>
          <w:sz w:val="24"/>
          <w:szCs w:val="24"/>
        </w:rPr>
        <w:t>Integrity</w:t>
      </w:r>
      <w:r w:rsidR="005D0D56">
        <w:rPr>
          <w:b/>
          <w:bCs/>
          <w:sz w:val="24"/>
          <w:szCs w:val="24"/>
        </w:rPr>
        <w:t xml:space="preserve"> - </w:t>
      </w:r>
      <w:r w:rsidRPr="005D0D56">
        <w:rPr>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w:t>
      </w:r>
      <w:r w:rsidR="006A4A25" w:rsidRPr="005D0D56">
        <w:rPr>
          <w:sz w:val="24"/>
          <w:szCs w:val="24"/>
        </w:rPr>
        <w:t xml:space="preserve"> </w:t>
      </w:r>
      <w:r w:rsidRPr="005D0D56">
        <w:rPr>
          <w:sz w:val="24"/>
          <w:szCs w:val="24"/>
        </w:rPr>
        <w:t xml:space="preserve">They must declare and resolve any interests and relationships. </w:t>
      </w:r>
    </w:p>
    <w:p w14:paraId="7618ECA5" w14:textId="54400CBD" w:rsidR="00746DB2" w:rsidRPr="005D0D56" w:rsidRDefault="00746DB2" w:rsidP="007A142D">
      <w:pPr>
        <w:pStyle w:val="BodyTextGrey"/>
        <w:ind w:left="1440"/>
        <w:rPr>
          <w:sz w:val="24"/>
          <w:szCs w:val="24"/>
        </w:rPr>
      </w:pPr>
      <w:r w:rsidRPr="005D0D56">
        <w:rPr>
          <w:b/>
          <w:bCs/>
          <w:sz w:val="24"/>
          <w:szCs w:val="24"/>
        </w:rPr>
        <w:t>Objectivity</w:t>
      </w:r>
      <w:r w:rsidRPr="005D0D56">
        <w:rPr>
          <w:sz w:val="24"/>
          <w:szCs w:val="24"/>
        </w:rPr>
        <w:t xml:space="preserve"> </w:t>
      </w:r>
      <w:r w:rsidR="005D0D56">
        <w:rPr>
          <w:sz w:val="24"/>
          <w:szCs w:val="24"/>
        </w:rPr>
        <w:t xml:space="preserve">- </w:t>
      </w:r>
      <w:r w:rsidRPr="005D0D56">
        <w:rPr>
          <w:sz w:val="24"/>
          <w:szCs w:val="24"/>
        </w:rPr>
        <w:t xml:space="preserve">Holders of public office must act and take decisions impartially, fairly and on merit, using the best evidence and without discrimination or bias. </w:t>
      </w:r>
    </w:p>
    <w:p w14:paraId="353B6DE7" w14:textId="72CA4182" w:rsidR="00746DB2" w:rsidRPr="005D0D56" w:rsidRDefault="00746DB2" w:rsidP="007A142D">
      <w:pPr>
        <w:pStyle w:val="BodyTextGrey"/>
        <w:ind w:left="1440"/>
        <w:rPr>
          <w:sz w:val="24"/>
          <w:szCs w:val="24"/>
        </w:rPr>
      </w:pPr>
      <w:r w:rsidRPr="005D0D56">
        <w:rPr>
          <w:b/>
          <w:bCs/>
          <w:sz w:val="24"/>
          <w:szCs w:val="24"/>
        </w:rPr>
        <w:t>Accountability</w:t>
      </w:r>
      <w:r w:rsidR="005D0D56">
        <w:rPr>
          <w:b/>
          <w:bCs/>
          <w:sz w:val="24"/>
          <w:szCs w:val="24"/>
        </w:rPr>
        <w:t xml:space="preserve"> - </w:t>
      </w:r>
      <w:r w:rsidRPr="005D0D56">
        <w:rPr>
          <w:sz w:val="24"/>
          <w:szCs w:val="24"/>
        </w:rPr>
        <w:t xml:space="preserve">Holders of public office are accountable to the public for their decisions and actions and must submit themselves to the scrutiny necessary to ensure this. </w:t>
      </w:r>
    </w:p>
    <w:p w14:paraId="43F4096A" w14:textId="5FBA4CAD" w:rsidR="00746DB2" w:rsidRPr="005D0D56" w:rsidRDefault="00746DB2" w:rsidP="007A142D">
      <w:pPr>
        <w:pStyle w:val="BodyTextGrey"/>
        <w:ind w:left="1440"/>
        <w:rPr>
          <w:sz w:val="24"/>
          <w:szCs w:val="24"/>
        </w:rPr>
      </w:pPr>
      <w:r w:rsidRPr="005D0D56">
        <w:rPr>
          <w:b/>
          <w:bCs/>
          <w:sz w:val="24"/>
          <w:szCs w:val="24"/>
        </w:rPr>
        <w:lastRenderedPageBreak/>
        <w:t>Openness</w:t>
      </w:r>
      <w:r w:rsidR="005D0D56">
        <w:rPr>
          <w:b/>
          <w:bCs/>
          <w:sz w:val="24"/>
          <w:szCs w:val="24"/>
        </w:rPr>
        <w:t xml:space="preserve"> - </w:t>
      </w:r>
      <w:r w:rsidRPr="005D0D56">
        <w:rPr>
          <w:sz w:val="24"/>
          <w:szCs w:val="24"/>
        </w:rPr>
        <w:t xml:space="preserve">Holders of public office should act and take decisions in an open and transparent manner. Information should not be withheld from the public unless there are clear and lawful reasons for so doing. </w:t>
      </w:r>
    </w:p>
    <w:p w14:paraId="041A00D4" w14:textId="211409A1" w:rsidR="00746DB2" w:rsidRPr="005D0D56" w:rsidRDefault="00746DB2" w:rsidP="007A142D">
      <w:pPr>
        <w:pStyle w:val="BodyTextGrey"/>
        <w:ind w:left="1440"/>
        <w:rPr>
          <w:sz w:val="24"/>
          <w:szCs w:val="24"/>
        </w:rPr>
      </w:pPr>
      <w:r w:rsidRPr="005D0D56">
        <w:rPr>
          <w:b/>
          <w:bCs/>
          <w:sz w:val="24"/>
          <w:szCs w:val="24"/>
        </w:rPr>
        <w:t>Honesty</w:t>
      </w:r>
      <w:r w:rsidR="005D0D56">
        <w:rPr>
          <w:b/>
          <w:bCs/>
          <w:sz w:val="24"/>
          <w:szCs w:val="24"/>
        </w:rPr>
        <w:t xml:space="preserve"> - </w:t>
      </w:r>
      <w:r w:rsidRPr="005D0D56">
        <w:rPr>
          <w:sz w:val="24"/>
          <w:szCs w:val="24"/>
        </w:rPr>
        <w:t xml:space="preserve">Holders of public office should be truthful. </w:t>
      </w:r>
    </w:p>
    <w:p w14:paraId="4ADC97FD" w14:textId="294590EC" w:rsidR="00746DB2" w:rsidRPr="005D0D56" w:rsidRDefault="00746DB2" w:rsidP="007A142D">
      <w:pPr>
        <w:pStyle w:val="BodyTextGrey"/>
        <w:ind w:left="1440"/>
        <w:rPr>
          <w:sz w:val="24"/>
          <w:szCs w:val="24"/>
        </w:rPr>
      </w:pPr>
      <w:r w:rsidRPr="005D0D56">
        <w:rPr>
          <w:b/>
          <w:bCs/>
          <w:sz w:val="24"/>
          <w:szCs w:val="24"/>
        </w:rPr>
        <w:t xml:space="preserve">Leadership </w:t>
      </w:r>
      <w:r w:rsidR="005D0D56">
        <w:rPr>
          <w:b/>
          <w:bCs/>
          <w:sz w:val="24"/>
          <w:szCs w:val="24"/>
        </w:rPr>
        <w:t xml:space="preserve">- </w:t>
      </w:r>
      <w:r w:rsidRPr="005D0D56">
        <w:rPr>
          <w:sz w:val="24"/>
          <w:szCs w:val="24"/>
        </w:rPr>
        <w:t>Holders of public office should exhibit these principles in their own behaviour. They should actively promote and robustly support the principles and be willing to challenge poor behaviour wherever it occurs.</w:t>
      </w:r>
    </w:p>
    <w:p w14:paraId="0A16202B" w14:textId="0DDCC999" w:rsidR="006A4A25" w:rsidRDefault="006A4A25" w:rsidP="00746DB2">
      <w:pPr>
        <w:pStyle w:val="BodyTextGrey"/>
      </w:pPr>
    </w:p>
    <w:p w14:paraId="6A2E99FE" w14:textId="26FB320F" w:rsidR="006A4A25" w:rsidRPr="005D0D56" w:rsidRDefault="00324B96" w:rsidP="00AE11AE">
      <w:pPr>
        <w:pStyle w:val="Heading1Num"/>
        <w:rPr>
          <w:b/>
          <w:bCs/>
          <w:color w:val="auto"/>
          <w:sz w:val="28"/>
          <w:szCs w:val="28"/>
        </w:rPr>
      </w:pPr>
      <w:r w:rsidRPr="005D0D56">
        <w:rPr>
          <w:b/>
          <w:bCs/>
          <w:color w:val="auto"/>
          <w:sz w:val="28"/>
          <w:szCs w:val="28"/>
        </w:rPr>
        <w:t>Managing c</w:t>
      </w:r>
      <w:r w:rsidR="00AE11AE" w:rsidRPr="005D0D56">
        <w:rPr>
          <w:b/>
          <w:bCs/>
          <w:color w:val="auto"/>
          <w:sz w:val="28"/>
          <w:szCs w:val="28"/>
        </w:rPr>
        <w:t xml:space="preserve">onflicts of interest </w:t>
      </w:r>
    </w:p>
    <w:p w14:paraId="4A1F95BC" w14:textId="77777777" w:rsidR="005D0D56" w:rsidRPr="005D0D56" w:rsidRDefault="001579E1" w:rsidP="005D0D56">
      <w:pPr>
        <w:pStyle w:val="Heading2Num"/>
        <w:rPr>
          <w:b w:val="0"/>
          <w:bCs/>
          <w:color w:val="auto"/>
          <w:sz w:val="24"/>
          <w:szCs w:val="24"/>
        </w:rPr>
      </w:pPr>
      <w:r w:rsidRPr="005D0D56">
        <w:rPr>
          <w:b w:val="0"/>
          <w:bCs/>
          <w:color w:val="auto"/>
          <w:sz w:val="24"/>
          <w:szCs w:val="24"/>
        </w:rPr>
        <w:t xml:space="preserve">The Council recognises that its dual role as both an employer participating in the Fund and the body legally tasked with its management can produce the potential for conflicts of interest to arise in certain areas.  It is important that these potential conflicts are managed in order to ensure that no actual or perceived conflict of interest arises and that </w:t>
      </w:r>
      <w:r w:rsidR="00A81E3B" w:rsidRPr="005D0D56">
        <w:rPr>
          <w:b w:val="0"/>
          <w:bCs/>
          <w:color w:val="auto"/>
          <w:sz w:val="24"/>
          <w:szCs w:val="24"/>
        </w:rPr>
        <w:t>all</w:t>
      </w:r>
      <w:r w:rsidRPr="005D0D56">
        <w:rPr>
          <w:b w:val="0"/>
          <w:bCs/>
          <w:color w:val="auto"/>
          <w:sz w:val="24"/>
          <w:szCs w:val="24"/>
        </w:rPr>
        <w:t xml:space="preserve"> the Fund’s employers and scheme members are treated fairly and equitably</w:t>
      </w:r>
    </w:p>
    <w:p w14:paraId="4E4EDFEE" w14:textId="412FFED5" w:rsidR="005E340B" w:rsidRPr="005D0D56" w:rsidRDefault="001579E1" w:rsidP="005D0D56">
      <w:pPr>
        <w:pStyle w:val="Heading2Num"/>
        <w:spacing w:before="240" w:after="240"/>
        <w:rPr>
          <w:b w:val="0"/>
          <w:bCs/>
          <w:color w:val="auto"/>
          <w:sz w:val="24"/>
          <w:szCs w:val="24"/>
        </w:rPr>
      </w:pPr>
      <w:r w:rsidRPr="005D0D56">
        <w:rPr>
          <w:b w:val="0"/>
          <w:bCs/>
          <w:color w:val="auto"/>
          <w:sz w:val="24"/>
          <w:szCs w:val="24"/>
        </w:rPr>
        <w:t>These areas are considered in more detail below.</w:t>
      </w:r>
    </w:p>
    <w:p w14:paraId="5014874F" w14:textId="23F4318F" w:rsidR="005E340B" w:rsidRDefault="005D0D56" w:rsidP="005D0D56">
      <w:pPr>
        <w:pStyle w:val="Heading3Num"/>
        <w:numPr>
          <w:ilvl w:val="0"/>
          <w:numId w:val="0"/>
        </w:numPr>
        <w:spacing w:line="240" w:lineRule="auto"/>
        <w:ind w:left="567"/>
        <w:rPr>
          <w:color w:val="auto"/>
          <w:sz w:val="24"/>
          <w:szCs w:val="24"/>
        </w:rPr>
      </w:pPr>
      <w:r w:rsidRPr="005D0D56">
        <w:rPr>
          <w:color w:val="auto"/>
          <w:sz w:val="24"/>
          <w:szCs w:val="24"/>
        </w:rPr>
        <w:t>C</w:t>
      </w:r>
      <w:r w:rsidR="005E340B" w:rsidRPr="005D0D56">
        <w:rPr>
          <w:color w:val="auto"/>
          <w:sz w:val="24"/>
          <w:szCs w:val="24"/>
        </w:rPr>
        <w:t>ontribution setting for employers</w:t>
      </w:r>
    </w:p>
    <w:p w14:paraId="6A1E05BA" w14:textId="77777777" w:rsidR="005D0D56" w:rsidRPr="005D0D56" w:rsidRDefault="005D0D56" w:rsidP="005D0D56">
      <w:pPr>
        <w:pStyle w:val="BodyTextGrey"/>
      </w:pPr>
    </w:p>
    <w:p w14:paraId="790447F2" w14:textId="77777777" w:rsidR="005D0D56" w:rsidRDefault="001579E1" w:rsidP="005D0D56">
      <w:pPr>
        <w:pStyle w:val="Heading3Num"/>
        <w:rPr>
          <w:b w:val="0"/>
          <w:bCs/>
          <w:color w:val="auto"/>
          <w:sz w:val="24"/>
          <w:szCs w:val="24"/>
        </w:rPr>
      </w:pPr>
      <w:r w:rsidRPr="005D0D56">
        <w:rPr>
          <w:b w:val="0"/>
          <w:bCs/>
          <w:color w:val="auto"/>
          <w:sz w:val="24"/>
          <w:szCs w:val="24"/>
        </w:rPr>
        <w:t xml:space="preserve">The setting of employer contribution rates must be done in a way that is fair and transparent.  No employer or individual should be in the position to </w:t>
      </w:r>
      <w:r w:rsidR="00F37E86" w:rsidRPr="005D0D56">
        <w:rPr>
          <w:b w:val="0"/>
          <w:bCs/>
          <w:color w:val="auto"/>
          <w:sz w:val="24"/>
          <w:szCs w:val="24"/>
        </w:rPr>
        <w:t xml:space="preserve">unduly </w:t>
      </w:r>
      <w:r w:rsidRPr="005D0D56">
        <w:rPr>
          <w:b w:val="0"/>
          <w:bCs/>
          <w:color w:val="auto"/>
          <w:sz w:val="24"/>
          <w:szCs w:val="24"/>
        </w:rPr>
        <w:t>influence</w:t>
      </w:r>
      <w:r w:rsidR="00F37E86" w:rsidRPr="005D0D56">
        <w:rPr>
          <w:b w:val="0"/>
          <w:bCs/>
          <w:color w:val="auto"/>
          <w:sz w:val="24"/>
          <w:szCs w:val="24"/>
        </w:rPr>
        <w:t xml:space="preserve"> the</w:t>
      </w:r>
      <w:r w:rsidR="00265B9E" w:rsidRPr="005D0D56">
        <w:rPr>
          <w:b w:val="0"/>
          <w:bCs/>
          <w:color w:val="auto"/>
          <w:sz w:val="24"/>
          <w:szCs w:val="24"/>
        </w:rPr>
        <w:t xml:space="preserve"> contribution setting process</w:t>
      </w:r>
    </w:p>
    <w:p w14:paraId="6FE49C6E" w14:textId="3448FBDC" w:rsidR="005D0D56" w:rsidRDefault="005D0D56" w:rsidP="005D0D56">
      <w:pPr>
        <w:pStyle w:val="Heading3Num"/>
        <w:numPr>
          <w:ilvl w:val="0"/>
          <w:numId w:val="0"/>
        </w:numPr>
        <w:ind w:left="567"/>
        <w:rPr>
          <w:b w:val="0"/>
          <w:bCs/>
          <w:color w:val="auto"/>
          <w:sz w:val="24"/>
          <w:szCs w:val="24"/>
        </w:rPr>
      </w:pPr>
    </w:p>
    <w:p w14:paraId="29745FC4" w14:textId="06E9E98A" w:rsidR="005E340B" w:rsidRPr="005D0D56" w:rsidRDefault="00265B9E" w:rsidP="005E340B">
      <w:pPr>
        <w:pStyle w:val="Heading3Num"/>
        <w:rPr>
          <w:b w:val="0"/>
          <w:bCs/>
          <w:color w:val="auto"/>
          <w:sz w:val="24"/>
          <w:szCs w:val="24"/>
        </w:rPr>
      </w:pPr>
      <w:r w:rsidRPr="005D0D56">
        <w:rPr>
          <w:b w:val="0"/>
          <w:bCs/>
          <w:color w:val="auto"/>
          <w:sz w:val="24"/>
          <w:szCs w:val="24"/>
        </w:rPr>
        <w:t xml:space="preserve">. </w:t>
      </w:r>
      <w:r w:rsidR="005E340B" w:rsidRPr="005D0D56">
        <w:rPr>
          <w:b w:val="0"/>
          <w:bCs/>
          <w:color w:val="auto"/>
          <w:sz w:val="24"/>
          <w:szCs w:val="24"/>
        </w:rPr>
        <w:t>The Fund achieves this in the following way:</w:t>
      </w:r>
    </w:p>
    <w:p w14:paraId="708AB11A" w14:textId="117323EF" w:rsidR="005E340B" w:rsidRPr="00B36977" w:rsidRDefault="005E340B" w:rsidP="005E340B">
      <w:pPr>
        <w:pStyle w:val="BodyTextGrey"/>
        <w:numPr>
          <w:ilvl w:val="0"/>
          <w:numId w:val="18"/>
        </w:numPr>
        <w:rPr>
          <w:color w:val="auto"/>
          <w:sz w:val="24"/>
          <w:szCs w:val="24"/>
        </w:rPr>
      </w:pPr>
      <w:r w:rsidRPr="00B36977">
        <w:rPr>
          <w:color w:val="auto"/>
          <w:sz w:val="24"/>
          <w:szCs w:val="24"/>
        </w:rPr>
        <w:t xml:space="preserve">The Funding Strategy Statement sets out the Fund’s approach to all funding related matters including the setting of contribution rates.  This policy is set with regard to the advice of the Fund </w:t>
      </w:r>
      <w:r w:rsidR="00C74302" w:rsidRPr="00B36977">
        <w:rPr>
          <w:color w:val="auto"/>
          <w:sz w:val="24"/>
          <w:szCs w:val="24"/>
        </w:rPr>
        <w:t>A</w:t>
      </w:r>
      <w:r w:rsidRPr="00B36977">
        <w:rPr>
          <w:color w:val="auto"/>
          <w:sz w:val="24"/>
          <w:szCs w:val="24"/>
        </w:rPr>
        <w:t>ctuary and is opened to consultation with all Fund employers before being formally adopted by the Pension Committee.  The approach to contribution setting is based on specific employer characteristics such as its time horizon, strength of covenant and risk profile.  This approach ensures consistency across all employers and removes the possibility of any employer receiving more, or less, favourable treatment.</w:t>
      </w:r>
    </w:p>
    <w:p w14:paraId="2301068D" w14:textId="1F5B49FB" w:rsidR="009F4DA3" w:rsidRPr="00102262" w:rsidRDefault="009F4DA3" w:rsidP="00D43D76">
      <w:pPr>
        <w:pStyle w:val="BodyTextGrey"/>
        <w:ind w:firstLine="567"/>
        <w:rPr>
          <w:b/>
          <w:bCs/>
          <w:color w:val="auto"/>
          <w:sz w:val="24"/>
          <w:szCs w:val="24"/>
        </w:rPr>
      </w:pPr>
      <w:r w:rsidRPr="00102262">
        <w:rPr>
          <w:b/>
          <w:bCs/>
          <w:color w:val="auto"/>
          <w:sz w:val="24"/>
          <w:szCs w:val="24"/>
        </w:rPr>
        <w:t>Delivering the LGPS function for all employers</w:t>
      </w:r>
    </w:p>
    <w:p w14:paraId="7DCFAAF0" w14:textId="7622358A" w:rsidR="00102262" w:rsidRDefault="00AF5DDE" w:rsidP="00102262">
      <w:pPr>
        <w:pStyle w:val="Heading3Num"/>
        <w:spacing w:before="0"/>
        <w:rPr>
          <w:b w:val="0"/>
          <w:bCs/>
          <w:color w:val="auto"/>
          <w:sz w:val="24"/>
          <w:szCs w:val="24"/>
        </w:rPr>
      </w:pPr>
      <w:r w:rsidRPr="00102262">
        <w:rPr>
          <w:b w:val="0"/>
          <w:bCs/>
          <w:color w:val="auto"/>
          <w:sz w:val="24"/>
          <w:szCs w:val="24"/>
        </w:rPr>
        <w:t xml:space="preserve">All employers within the Fund are entitled to receive the same </w:t>
      </w:r>
      <w:r w:rsidR="0078480E" w:rsidRPr="00102262">
        <w:rPr>
          <w:b w:val="0"/>
          <w:bCs/>
          <w:color w:val="auto"/>
          <w:sz w:val="24"/>
          <w:szCs w:val="24"/>
        </w:rPr>
        <w:t>high-quality</w:t>
      </w:r>
      <w:r w:rsidRPr="00102262">
        <w:rPr>
          <w:b w:val="0"/>
          <w:bCs/>
          <w:color w:val="auto"/>
          <w:sz w:val="24"/>
          <w:szCs w:val="24"/>
        </w:rPr>
        <w:t xml:space="preserve"> service and support from the Fund.  Equally, the expectation on employers in respect of their obligations under the LGPS are the same for all employers.  There should no perception that the Council receives more favourable terms </w:t>
      </w:r>
      <w:r w:rsidR="007833F5" w:rsidRPr="00102262">
        <w:rPr>
          <w:b w:val="0"/>
          <w:bCs/>
          <w:color w:val="auto"/>
          <w:sz w:val="24"/>
          <w:szCs w:val="24"/>
        </w:rPr>
        <w:t>with regards to</w:t>
      </w:r>
      <w:r w:rsidRPr="00102262">
        <w:rPr>
          <w:b w:val="0"/>
          <w:bCs/>
          <w:color w:val="auto"/>
          <w:sz w:val="24"/>
          <w:szCs w:val="24"/>
        </w:rPr>
        <w:t xml:space="preserve"> the service received from, or the obligations expected to, the Fund</w:t>
      </w:r>
      <w:r w:rsidR="00D43D76">
        <w:rPr>
          <w:b w:val="0"/>
          <w:bCs/>
          <w:color w:val="auto"/>
          <w:sz w:val="24"/>
          <w:szCs w:val="24"/>
        </w:rPr>
        <w:t>.</w:t>
      </w:r>
    </w:p>
    <w:p w14:paraId="196CE24D" w14:textId="77777777" w:rsidR="00D43D76" w:rsidRPr="00D43D76" w:rsidRDefault="00D43D76" w:rsidP="00D43D76">
      <w:pPr>
        <w:pStyle w:val="BodyTextGrey"/>
      </w:pPr>
    </w:p>
    <w:p w14:paraId="08B8A75D" w14:textId="2A015F04" w:rsidR="00D43D76" w:rsidRDefault="005E340B" w:rsidP="00D43D76">
      <w:pPr>
        <w:pStyle w:val="Heading3Num"/>
        <w:spacing w:before="0"/>
        <w:rPr>
          <w:b w:val="0"/>
          <w:bCs/>
          <w:color w:val="auto"/>
          <w:sz w:val="24"/>
          <w:szCs w:val="24"/>
        </w:rPr>
      </w:pPr>
      <w:r w:rsidRPr="00D43D76">
        <w:rPr>
          <w:b w:val="0"/>
          <w:bCs/>
          <w:color w:val="auto"/>
          <w:sz w:val="24"/>
          <w:szCs w:val="24"/>
        </w:rPr>
        <w:lastRenderedPageBreak/>
        <w:t xml:space="preserve">The Fund’s administration strategy </w:t>
      </w:r>
      <w:r w:rsidR="00D43D76">
        <w:rPr>
          <w:b w:val="0"/>
          <w:bCs/>
          <w:color w:val="auto"/>
          <w:sz w:val="24"/>
          <w:szCs w:val="24"/>
        </w:rPr>
        <w:t xml:space="preserve">will </w:t>
      </w:r>
      <w:r w:rsidRPr="00D43D76">
        <w:rPr>
          <w:b w:val="0"/>
          <w:bCs/>
          <w:color w:val="auto"/>
          <w:sz w:val="24"/>
          <w:szCs w:val="24"/>
        </w:rPr>
        <w:t xml:space="preserve">set out the way in which the Fund works with its employers and the mutual service standards expected.  The </w:t>
      </w:r>
      <w:r w:rsidR="00D43D76">
        <w:rPr>
          <w:b w:val="0"/>
          <w:bCs/>
          <w:color w:val="auto"/>
          <w:sz w:val="24"/>
          <w:szCs w:val="24"/>
        </w:rPr>
        <w:t>strategy</w:t>
      </w:r>
      <w:r w:rsidRPr="00D43D76">
        <w:rPr>
          <w:b w:val="0"/>
          <w:bCs/>
          <w:color w:val="auto"/>
          <w:sz w:val="24"/>
          <w:szCs w:val="24"/>
        </w:rPr>
        <w:t xml:space="preserve"> details how the Fund will assist employers to ensure that they are best placed to meet their statutory LGPS obligations. On occasions where an employer’s failure to comply with required processes and standards has led to the Fund incurring additional cost, the policy also provides for that cost to be recovered from the employer in question.  This </w:t>
      </w:r>
      <w:r w:rsidR="00D43D76">
        <w:rPr>
          <w:b w:val="0"/>
          <w:bCs/>
          <w:color w:val="auto"/>
          <w:sz w:val="24"/>
          <w:szCs w:val="24"/>
        </w:rPr>
        <w:t>strategy</w:t>
      </w:r>
      <w:r w:rsidRPr="00D43D76">
        <w:rPr>
          <w:b w:val="0"/>
          <w:bCs/>
          <w:color w:val="auto"/>
          <w:sz w:val="24"/>
          <w:szCs w:val="24"/>
        </w:rPr>
        <w:t xml:space="preserve"> </w:t>
      </w:r>
      <w:r w:rsidR="00D43D76">
        <w:rPr>
          <w:b w:val="0"/>
          <w:bCs/>
          <w:color w:val="auto"/>
          <w:sz w:val="24"/>
          <w:szCs w:val="24"/>
        </w:rPr>
        <w:t xml:space="preserve">will be </w:t>
      </w:r>
      <w:r w:rsidRPr="00D43D76">
        <w:rPr>
          <w:b w:val="0"/>
          <w:bCs/>
          <w:color w:val="auto"/>
          <w:sz w:val="24"/>
          <w:szCs w:val="24"/>
        </w:rPr>
        <w:t xml:space="preserve">opened to consultation with all the Fund’s employers and is operated in a consistent fashion across </w:t>
      </w:r>
      <w:r w:rsidR="00D4788A" w:rsidRPr="00D43D76">
        <w:rPr>
          <w:b w:val="0"/>
          <w:bCs/>
          <w:color w:val="auto"/>
          <w:sz w:val="24"/>
          <w:szCs w:val="24"/>
        </w:rPr>
        <w:t>all</w:t>
      </w:r>
      <w:r w:rsidRPr="00D43D76">
        <w:rPr>
          <w:b w:val="0"/>
          <w:bCs/>
          <w:color w:val="auto"/>
          <w:sz w:val="24"/>
          <w:szCs w:val="24"/>
        </w:rPr>
        <w:t xml:space="preserve"> the employer base</w:t>
      </w:r>
    </w:p>
    <w:p w14:paraId="6C92FEE3" w14:textId="2EF948DE" w:rsidR="00D43D76" w:rsidRPr="00D43D76" w:rsidRDefault="00D43D76" w:rsidP="00D43D76">
      <w:pPr>
        <w:pStyle w:val="Heading3Num"/>
        <w:numPr>
          <w:ilvl w:val="0"/>
          <w:numId w:val="0"/>
        </w:numPr>
        <w:spacing w:before="0"/>
        <w:ind w:left="567"/>
        <w:rPr>
          <w:b w:val="0"/>
          <w:bCs/>
          <w:color w:val="auto"/>
          <w:sz w:val="24"/>
          <w:szCs w:val="24"/>
        </w:rPr>
      </w:pPr>
    </w:p>
    <w:p w14:paraId="0B56C237" w14:textId="1BBF765F" w:rsidR="005E340B" w:rsidRPr="00D43D76" w:rsidRDefault="005E340B" w:rsidP="00D43D76">
      <w:pPr>
        <w:pStyle w:val="Heading3Num"/>
        <w:spacing w:before="0"/>
        <w:rPr>
          <w:b w:val="0"/>
          <w:bCs/>
          <w:color w:val="auto"/>
          <w:sz w:val="24"/>
          <w:szCs w:val="24"/>
        </w:rPr>
      </w:pPr>
      <w:r w:rsidRPr="00D43D76">
        <w:rPr>
          <w:b w:val="0"/>
          <w:bCs/>
          <w:color w:val="auto"/>
          <w:sz w:val="24"/>
          <w:szCs w:val="24"/>
        </w:rPr>
        <w:t xml:space="preserve">The pension fund is run for the benefit of its members and on behalf of all its employers.  It is important therefore that the Fund’s budget is set and managed separately from the expenditure of the Council.  Decisions regarding pension fund resource </w:t>
      </w:r>
      <w:r w:rsidR="00B533B3" w:rsidRPr="00D43D76">
        <w:rPr>
          <w:b w:val="0"/>
          <w:bCs/>
          <w:color w:val="auto"/>
          <w:sz w:val="24"/>
          <w:szCs w:val="24"/>
        </w:rPr>
        <w:t>are approved by the</w:t>
      </w:r>
      <w:r w:rsidRPr="00D43D76">
        <w:rPr>
          <w:b w:val="0"/>
          <w:bCs/>
          <w:color w:val="auto"/>
          <w:sz w:val="24"/>
          <w:szCs w:val="24"/>
        </w:rPr>
        <w:t xml:space="preserve"> Pension Committee </w:t>
      </w:r>
      <w:r w:rsidR="00B533B3" w:rsidRPr="00D43D76">
        <w:rPr>
          <w:b w:val="0"/>
          <w:bCs/>
          <w:color w:val="auto"/>
          <w:sz w:val="24"/>
          <w:szCs w:val="24"/>
        </w:rPr>
        <w:t>on</w:t>
      </w:r>
      <w:r w:rsidRPr="00D43D76">
        <w:rPr>
          <w:b w:val="0"/>
          <w:bCs/>
          <w:color w:val="auto"/>
          <w:sz w:val="24"/>
          <w:szCs w:val="24"/>
        </w:rPr>
        <w:t xml:space="preserve"> recommendation </w:t>
      </w:r>
      <w:r w:rsidR="00B533B3" w:rsidRPr="00D43D76">
        <w:rPr>
          <w:b w:val="0"/>
          <w:bCs/>
          <w:color w:val="auto"/>
          <w:sz w:val="24"/>
          <w:szCs w:val="24"/>
        </w:rPr>
        <w:t xml:space="preserve">from </w:t>
      </w:r>
      <w:r w:rsidRPr="00D43D76">
        <w:rPr>
          <w:b w:val="0"/>
          <w:bCs/>
          <w:color w:val="auto"/>
          <w:sz w:val="24"/>
          <w:szCs w:val="24"/>
        </w:rPr>
        <w:t>the S151 officer.</w:t>
      </w:r>
    </w:p>
    <w:p w14:paraId="7589AE59" w14:textId="77777777" w:rsidR="00D43D76" w:rsidRDefault="00D43D76" w:rsidP="00AF5DDE">
      <w:pPr>
        <w:pStyle w:val="BodyTextGrey"/>
        <w:rPr>
          <w:b/>
          <w:bCs/>
        </w:rPr>
      </w:pPr>
    </w:p>
    <w:p w14:paraId="11BCD642" w14:textId="2C6D3B53" w:rsidR="00AF5DDE" w:rsidRPr="00D43D76" w:rsidRDefault="00AF5DDE" w:rsidP="00D43D76">
      <w:pPr>
        <w:pStyle w:val="BodyTextGrey"/>
        <w:ind w:firstLine="567"/>
        <w:rPr>
          <w:b/>
          <w:bCs/>
          <w:sz w:val="24"/>
          <w:szCs w:val="24"/>
        </w:rPr>
      </w:pPr>
      <w:r w:rsidRPr="00D43D76">
        <w:rPr>
          <w:b/>
          <w:bCs/>
          <w:sz w:val="24"/>
          <w:szCs w:val="24"/>
        </w:rPr>
        <w:t xml:space="preserve">Investment decisions </w:t>
      </w:r>
    </w:p>
    <w:p w14:paraId="29BA5BAC" w14:textId="70A1C7EB" w:rsidR="00AF5DDE" w:rsidRDefault="00437165" w:rsidP="00293175">
      <w:pPr>
        <w:pStyle w:val="Heading2Num"/>
        <w:spacing w:after="240"/>
        <w:rPr>
          <w:b w:val="0"/>
          <w:bCs/>
          <w:color w:val="auto"/>
          <w:sz w:val="24"/>
          <w:szCs w:val="24"/>
        </w:rPr>
      </w:pPr>
      <w:r w:rsidRPr="00D43D76">
        <w:rPr>
          <w:b w:val="0"/>
          <w:bCs/>
          <w:color w:val="auto"/>
          <w:sz w:val="24"/>
          <w:szCs w:val="24"/>
        </w:rPr>
        <w:t>The primary investment objective of the Fund is to ensure that over the long term there will be sufficient assets to meet all pension liabilities as they fall due</w:t>
      </w:r>
      <w:r w:rsidR="00A22EB5" w:rsidRPr="00D43D76">
        <w:rPr>
          <w:b w:val="0"/>
          <w:bCs/>
          <w:color w:val="auto"/>
          <w:sz w:val="24"/>
          <w:szCs w:val="24"/>
        </w:rPr>
        <w:t xml:space="preserve">.  Investment decision have an impact on all employers </w:t>
      </w:r>
      <w:r w:rsidR="008F3BB7" w:rsidRPr="00D43D76">
        <w:rPr>
          <w:b w:val="0"/>
          <w:bCs/>
          <w:color w:val="auto"/>
          <w:sz w:val="24"/>
          <w:szCs w:val="24"/>
        </w:rPr>
        <w:t xml:space="preserve">within the </w:t>
      </w:r>
      <w:r w:rsidR="00335045" w:rsidRPr="00D43D76">
        <w:rPr>
          <w:b w:val="0"/>
          <w:bCs/>
          <w:color w:val="auto"/>
          <w:sz w:val="24"/>
          <w:szCs w:val="24"/>
        </w:rPr>
        <w:t>F</w:t>
      </w:r>
      <w:r w:rsidR="008F3BB7" w:rsidRPr="00D43D76">
        <w:rPr>
          <w:b w:val="0"/>
          <w:bCs/>
          <w:color w:val="auto"/>
          <w:sz w:val="24"/>
          <w:szCs w:val="24"/>
        </w:rPr>
        <w:t>und and so should reflect the</w:t>
      </w:r>
      <w:r w:rsidR="00C42B31" w:rsidRPr="00D43D76">
        <w:rPr>
          <w:b w:val="0"/>
          <w:bCs/>
          <w:color w:val="auto"/>
          <w:sz w:val="24"/>
          <w:szCs w:val="24"/>
        </w:rPr>
        <w:t xml:space="preserve"> </w:t>
      </w:r>
      <w:r w:rsidR="00B471F1" w:rsidRPr="00D43D76">
        <w:rPr>
          <w:b w:val="0"/>
          <w:bCs/>
          <w:color w:val="auto"/>
          <w:sz w:val="24"/>
          <w:szCs w:val="24"/>
        </w:rPr>
        <w:t>long-term</w:t>
      </w:r>
      <w:r w:rsidR="008F3BB7" w:rsidRPr="00D43D76">
        <w:rPr>
          <w:b w:val="0"/>
          <w:bCs/>
          <w:color w:val="auto"/>
          <w:sz w:val="24"/>
          <w:szCs w:val="24"/>
        </w:rPr>
        <w:t xml:space="preserve"> requirements of the Fund.   </w:t>
      </w:r>
    </w:p>
    <w:p w14:paraId="4AE5B8BC" w14:textId="257C1AAA" w:rsidR="00D43D76" w:rsidRDefault="00AF5DDE" w:rsidP="00D43D76">
      <w:pPr>
        <w:pStyle w:val="Heading3Num"/>
        <w:rPr>
          <w:b w:val="0"/>
          <w:bCs/>
          <w:color w:val="auto"/>
          <w:sz w:val="24"/>
          <w:szCs w:val="24"/>
        </w:rPr>
      </w:pPr>
      <w:r w:rsidRPr="00293175">
        <w:rPr>
          <w:b w:val="0"/>
          <w:bCs/>
          <w:color w:val="auto"/>
          <w:sz w:val="24"/>
          <w:szCs w:val="24"/>
        </w:rPr>
        <w:t>The Investment Strategy Statement sets out how the Fund’s money will be invested in order to meet future liabilities and contains the Fund’s investment objectives and the asset classes in which it will invest.  It also contains the Fund’s approach to assessing environmental, social and governance risks and how it will act as a responsible asset owner with regard to engagement and voting shares for companies in which it is invested.  The Statement also explains the Fund’s approach to investments which deliver a social impact as well as a purely financial return</w:t>
      </w:r>
      <w:r w:rsidR="00D43D76" w:rsidRPr="00293175">
        <w:rPr>
          <w:b w:val="0"/>
          <w:bCs/>
          <w:color w:val="auto"/>
          <w:sz w:val="24"/>
          <w:szCs w:val="24"/>
        </w:rPr>
        <w:t>.</w:t>
      </w:r>
    </w:p>
    <w:p w14:paraId="2517C4DA" w14:textId="77777777" w:rsidR="00293175" w:rsidRPr="00293175" w:rsidRDefault="00293175" w:rsidP="00293175">
      <w:pPr>
        <w:pStyle w:val="BodyTextGrey"/>
      </w:pPr>
    </w:p>
    <w:p w14:paraId="56E6E4FA" w14:textId="2139FC65" w:rsidR="00D43D76" w:rsidRDefault="00AF5DDE" w:rsidP="00AF5DDE">
      <w:pPr>
        <w:pStyle w:val="Heading3Num"/>
        <w:rPr>
          <w:b w:val="0"/>
          <w:bCs/>
          <w:color w:val="auto"/>
          <w:sz w:val="24"/>
          <w:szCs w:val="24"/>
        </w:rPr>
      </w:pPr>
      <w:r w:rsidRPr="00293175">
        <w:rPr>
          <w:b w:val="0"/>
          <w:bCs/>
          <w:color w:val="auto"/>
          <w:sz w:val="24"/>
          <w:szCs w:val="24"/>
        </w:rPr>
        <w:t xml:space="preserve">The Investment Strategy Statement is a statement of the beliefs, objectives and strategies pertaining to pension </w:t>
      </w:r>
      <w:r w:rsidR="00976A27" w:rsidRPr="00293175">
        <w:rPr>
          <w:b w:val="0"/>
          <w:bCs/>
          <w:color w:val="auto"/>
          <w:sz w:val="24"/>
          <w:szCs w:val="24"/>
        </w:rPr>
        <w:t>f</w:t>
      </w:r>
      <w:r w:rsidRPr="00293175">
        <w:rPr>
          <w:b w:val="0"/>
          <w:bCs/>
          <w:color w:val="auto"/>
          <w:sz w:val="24"/>
          <w:szCs w:val="24"/>
        </w:rPr>
        <w:t>und investments and is separate to and distinct from any policies that apply to the Council.</w:t>
      </w:r>
      <w:r w:rsidR="00B533B3" w:rsidRPr="00293175">
        <w:rPr>
          <w:b w:val="0"/>
          <w:bCs/>
          <w:color w:val="auto"/>
          <w:sz w:val="24"/>
          <w:szCs w:val="24"/>
        </w:rPr>
        <w:t xml:space="preserve">  For example</w:t>
      </w:r>
      <w:r w:rsidR="002B0E39" w:rsidRPr="00293175">
        <w:rPr>
          <w:b w:val="0"/>
          <w:bCs/>
          <w:color w:val="auto"/>
          <w:sz w:val="24"/>
          <w:szCs w:val="24"/>
        </w:rPr>
        <w:t>,</w:t>
      </w:r>
      <w:r w:rsidR="00B533B3" w:rsidRPr="00293175">
        <w:rPr>
          <w:b w:val="0"/>
          <w:bCs/>
          <w:color w:val="auto"/>
          <w:sz w:val="24"/>
          <w:szCs w:val="24"/>
        </w:rPr>
        <w:t xml:space="preserve"> the Council may have particular strategies regarding tobacco investment </w:t>
      </w:r>
      <w:r w:rsidR="002B0E39" w:rsidRPr="00293175">
        <w:rPr>
          <w:b w:val="0"/>
          <w:bCs/>
          <w:color w:val="auto"/>
          <w:sz w:val="24"/>
          <w:szCs w:val="24"/>
        </w:rPr>
        <w:t xml:space="preserve">as a consequence of its public health duties.  </w:t>
      </w:r>
      <w:r w:rsidR="00125EC5" w:rsidRPr="00293175">
        <w:rPr>
          <w:b w:val="0"/>
          <w:bCs/>
          <w:color w:val="auto"/>
          <w:sz w:val="24"/>
          <w:szCs w:val="24"/>
        </w:rPr>
        <w:t>This should remain</w:t>
      </w:r>
      <w:r w:rsidR="002B0E39" w:rsidRPr="00293175">
        <w:rPr>
          <w:b w:val="0"/>
          <w:bCs/>
          <w:color w:val="auto"/>
          <w:sz w:val="24"/>
          <w:szCs w:val="24"/>
        </w:rPr>
        <w:t xml:space="preserve"> distinct from the Fund’s investment strategy,</w:t>
      </w:r>
      <w:r w:rsidR="00C960D9" w:rsidRPr="00293175">
        <w:rPr>
          <w:b w:val="0"/>
          <w:bCs/>
          <w:color w:val="auto"/>
          <w:sz w:val="24"/>
          <w:szCs w:val="24"/>
        </w:rPr>
        <w:t xml:space="preserve"> as set by the Pension Committee and </w:t>
      </w:r>
      <w:r w:rsidR="002B0E39" w:rsidRPr="00293175">
        <w:rPr>
          <w:b w:val="0"/>
          <w:bCs/>
          <w:color w:val="auto"/>
          <w:sz w:val="24"/>
          <w:szCs w:val="24"/>
        </w:rPr>
        <w:t xml:space="preserve">which </w:t>
      </w:r>
      <w:r w:rsidR="00C960D9" w:rsidRPr="00293175">
        <w:rPr>
          <w:b w:val="0"/>
          <w:bCs/>
          <w:color w:val="auto"/>
          <w:sz w:val="24"/>
          <w:szCs w:val="24"/>
        </w:rPr>
        <w:t>is operated</w:t>
      </w:r>
      <w:r w:rsidR="002B0E39" w:rsidRPr="00293175">
        <w:rPr>
          <w:b w:val="0"/>
          <w:bCs/>
          <w:color w:val="auto"/>
          <w:sz w:val="24"/>
          <w:szCs w:val="24"/>
        </w:rPr>
        <w:t xml:space="preserve"> on behalf of all Fund employers.  A similar situation arises in respect of the Council</w:t>
      </w:r>
      <w:r w:rsidR="00125EC5" w:rsidRPr="00293175">
        <w:rPr>
          <w:b w:val="0"/>
          <w:bCs/>
          <w:color w:val="auto"/>
          <w:sz w:val="24"/>
          <w:szCs w:val="24"/>
        </w:rPr>
        <w:t xml:space="preserve">’s policy regarding </w:t>
      </w:r>
      <w:r w:rsidR="00C960D9" w:rsidRPr="00293175">
        <w:rPr>
          <w:b w:val="0"/>
          <w:bCs/>
          <w:color w:val="auto"/>
          <w:sz w:val="24"/>
          <w:szCs w:val="24"/>
        </w:rPr>
        <w:t>matters such as</w:t>
      </w:r>
      <w:r w:rsidR="00125EC5" w:rsidRPr="00293175">
        <w:rPr>
          <w:b w:val="0"/>
          <w:bCs/>
          <w:color w:val="auto"/>
          <w:sz w:val="24"/>
          <w:szCs w:val="24"/>
        </w:rPr>
        <w:t xml:space="preserve"> investment</w:t>
      </w:r>
      <w:r w:rsidR="00C960D9" w:rsidRPr="00293175">
        <w:rPr>
          <w:b w:val="0"/>
          <w:bCs/>
          <w:color w:val="auto"/>
          <w:sz w:val="24"/>
          <w:szCs w:val="24"/>
        </w:rPr>
        <w:t xml:space="preserve"> in</w:t>
      </w:r>
      <w:r w:rsidR="00125EC5" w:rsidRPr="00293175">
        <w:rPr>
          <w:b w:val="0"/>
          <w:bCs/>
          <w:color w:val="auto"/>
          <w:sz w:val="24"/>
          <w:szCs w:val="24"/>
        </w:rPr>
        <w:t xml:space="preserve"> </w:t>
      </w:r>
      <w:r w:rsidR="00C960D9" w:rsidRPr="00293175">
        <w:rPr>
          <w:b w:val="0"/>
          <w:bCs/>
          <w:color w:val="auto"/>
          <w:sz w:val="24"/>
          <w:szCs w:val="24"/>
        </w:rPr>
        <w:t xml:space="preserve">local </w:t>
      </w:r>
      <w:r w:rsidR="00125EC5" w:rsidRPr="00293175">
        <w:rPr>
          <w:b w:val="0"/>
          <w:bCs/>
          <w:color w:val="auto"/>
          <w:sz w:val="24"/>
          <w:szCs w:val="24"/>
        </w:rPr>
        <w:t>housing or other infrastructure</w:t>
      </w:r>
      <w:r w:rsidR="00C960D9" w:rsidRPr="00293175">
        <w:rPr>
          <w:b w:val="0"/>
          <w:bCs/>
          <w:color w:val="auto"/>
          <w:sz w:val="24"/>
          <w:szCs w:val="24"/>
        </w:rPr>
        <w:t xml:space="preserve"> within the </w:t>
      </w:r>
      <w:r w:rsidR="003D715A" w:rsidRPr="00293175">
        <w:rPr>
          <w:b w:val="0"/>
          <w:bCs/>
          <w:color w:val="auto"/>
          <w:sz w:val="24"/>
          <w:szCs w:val="24"/>
        </w:rPr>
        <w:t>local authority area</w:t>
      </w:r>
      <w:r w:rsidR="00125EC5" w:rsidRPr="00293175">
        <w:rPr>
          <w:b w:val="0"/>
          <w:bCs/>
          <w:color w:val="auto"/>
          <w:sz w:val="24"/>
          <w:szCs w:val="24"/>
        </w:rPr>
        <w:t xml:space="preserve">, which </w:t>
      </w:r>
      <w:r w:rsidR="00C960D9" w:rsidRPr="00293175">
        <w:rPr>
          <w:b w:val="0"/>
          <w:bCs/>
          <w:color w:val="auto"/>
          <w:sz w:val="24"/>
          <w:szCs w:val="24"/>
        </w:rPr>
        <w:t>remain distinct from the policies and strategies of the Pension Fund</w:t>
      </w:r>
      <w:r w:rsidR="00293175">
        <w:rPr>
          <w:b w:val="0"/>
          <w:bCs/>
          <w:color w:val="auto"/>
          <w:sz w:val="24"/>
          <w:szCs w:val="24"/>
        </w:rPr>
        <w:t>.</w:t>
      </w:r>
    </w:p>
    <w:p w14:paraId="489479FF" w14:textId="77777777" w:rsidR="00293175" w:rsidRPr="00293175" w:rsidRDefault="00293175" w:rsidP="00293175">
      <w:pPr>
        <w:pStyle w:val="BodyTextGrey"/>
      </w:pPr>
    </w:p>
    <w:p w14:paraId="5A88F321" w14:textId="47F61F00" w:rsidR="00293175" w:rsidRPr="00293175" w:rsidRDefault="00C960D9" w:rsidP="004A7D69">
      <w:pPr>
        <w:pStyle w:val="Heading3Num"/>
        <w:rPr>
          <w:b w:val="0"/>
          <w:bCs/>
          <w:color w:val="auto"/>
          <w:sz w:val="24"/>
          <w:szCs w:val="24"/>
        </w:rPr>
      </w:pPr>
      <w:r w:rsidRPr="00293175">
        <w:rPr>
          <w:b w:val="0"/>
          <w:bCs/>
          <w:color w:val="auto"/>
          <w:sz w:val="24"/>
          <w:szCs w:val="24"/>
        </w:rPr>
        <w:lastRenderedPageBreak/>
        <w:t xml:space="preserve">From time to time the Council may </w:t>
      </w:r>
      <w:r w:rsidR="00661AA7" w:rsidRPr="00293175">
        <w:rPr>
          <w:b w:val="0"/>
          <w:bCs/>
          <w:color w:val="auto"/>
          <w:sz w:val="24"/>
          <w:szCs w:val="24"/>
        </w:rPr>
        <w:t>pursue certain</w:t>
      </w:r>
      <w:r w:rsidRPr="00293175">
        <w:rPr>
          <w:b w:val="0"/>
          <w:bCs/>
          <w:color w:val="auto"/>
          <w:sz w:val="24"/>
          <w:szCs w:val="24"/>
        </w:rPr>
        <w:t xml:space="preserve"> climate related goals, for example a commitment to being carbon neutral by a certain date.  </w:t>
      </w:r>
      <w:r w:rsidR="00661AA7" w:rsidRPr="00293175">
        <w:rPr>
          <w:b w:val="0"/>
          <w:bCs/>
          <w:color w:val="auto"/>
          <w:sz w:val="24"/>
          <w:szCs w:val="24"/>
        </w:rPr>
        <w:t xml:space="preserve">Actions taken </w:t>
      </w:r>
      <w:r w:rsidR="0055725E" w:rsidRPr="00293175">
        <w:rPr>
          <w:b w:val="0"/>
          <w:bCs/>
          <w:color w:val="auto"/>
          <w:sz w:val="24"/>
          <w:szCs w:val="24"/>
        </w:rPr>
        <w:t>in pursuit of these goals may impact on members and employees of the Council in certain ways, for example members and staff may be required to pursue low carbon travel options when travelling on Council business.  Where this is the case, members and employees carrying out work related to the management of the Fund will be subject to the same polices as all other Council members or staff</w:t>
      </w:r>
      <w:r w:rsidR="00DB2CFA" w:rsidRPr="00293175">
        <w:rPr>
          <w:b w:val="0"/>
          <w:bCs/>
          <w:color w:val="auto"/>
          <w:sz w:val="24"/>
          <w:szCs w:val="24"/>
        </w:rPr>
        <w:t>, insofar as they reflect operational matters</w:t>
      </w:r>
      <w:r w:rsidR="0055725E" w:rsidRPr="00293175">
        <w:rPr>
          <w:b w:val="0"/>
          <w:bCs/>
          <w:color w:val="auto"/>
          <w:sz w:val="24"/>
          <w:szCs w:val="24"/>
        </w:rPr>
        <w:t xml:space="preserve">.  However, </w:t>
      </w:r>
      <w:r w:rsidR="00DB2CFA" w:rsidRPr="00293175">
        <w:rPr>
          <w:b w:val="0"/>
          <w:bCs/>
          <w:color w:val="auto"/>
          <w:sz w:val="24"/>
          <w:szCs w:val="24"/>
        </w:rPr>
        <w:t xml:space="preserve">decisions in respect of Fund investments are made by the Pension Fund Committee on behalf of all employers in the Fund and as such </w:t>
      </w:r>
      <w:r w:rsidR="00A33A4C" w:rsidRPr="00293175">
        <w:rPr>
          <w:b w:val="0"/>
          <w:bCs/>
          <w:color w:val="auto"/>
          <w:sz w:val="24"/>
          <w:szCs w:val="24"/>
        </w:rPr>
        <w:t>will follow separate and distinct policies and strategies</w:t>
      </w:r>
      <w:r w:rsidR="00293175" w:rsidRPr="00293175">
        <w:rPr>
          <w:b w:val="0"/>
          <w:bCs/>
          <w:color w:val="auto"/>
          <w:sz w:val="24"/>
          <w:szCs w:val="24"/>
        </w:rPr>
        <w:t>.</w:t>
      </w:r>
    </w:p>
    <w:p w14:paraId="481013C6" w14:textId="77777777" w:rsidR="00293175" w:rsidRPr="00293175" w:rsidRDefault="00293175" w:rsidP="00293175">
      <w:pPr>
        <w:pStyle w:val="BodyTextGrey"/>
      </w:pPr>
    </w:p>
    <w:p w14:paraId="5637F3C0" w14:textId="41CE0240" w:rsidR="00AF5DDE" w:rsidRPr="00293175" w:rsidRDefault="004166A3" w:rsidP="00AF5DDE">
      <w:pPr>
        <w:pStyle w:val="Heading3Num"/>
        <w:rPr>
          <w:b w:val="0"/>
          <w:bCs/>
          <w:color w:val="auto"/>
          <w:sz w:val="24"/>
          <w:szCs w:val="24"/>
        </w:rPr>
      </w:pPr>
      <w:r w:rsidRPr="00293175">
        <w:rPr>
          <w:b w:val="0"/>
          <w:bCs/>
          <w:color w:val="auto"/>
          <w:sz w:val="24"/>
          <w:szCs w:val="24"/>
        </w:rPr>
        <w:t>All investment decision</w:t>
      </w:r>
      <w:r w:rsidR="00437165" w:rsidRPr="00293175">
        <w:rPr>
          <w:b w:val="0"/>
          <w:bCs/>
          <w:color w:val="auto"/>
          <w:sz w:val="24"/>
          <w:szCs w:val="24"/>
        </w:rPr>
        <w:t>s</w:t>
      </w:r>
      <w:r w:rsidRPr="00293175">
        <w:rPr>
          <w:b w:val="0"/>
          <w:bCs/>
          <w:color w:val="auto"/>
          <w:sz w:val="24"/>
          <w:szCs w:val="24"/>
        </w:rPr>
        <w:t xml:space="preserve"> are taken in accordance with the Investment Strategy Statement, following appropriate professional advice</w:t>
      </w:r>
      <w:r w:rsidR="00437165" w:rsidRPr="00293175">
        <w:rPr>
          <w:b w:val="0"/>
          <w:bCs/>
          <w:color w:val="auto"/>
          <w:sz w:val="24"/>
          <w:szCs w:val="24"/>
        </w:rPr>
        <w:t>.  N</w:t>
      </w:r>
      <w:r w:rsidRPr="00293175">
        <w:rPr>
          <w:b w:val="0"/>
          <w:bCs/>
          <w:color w:val="auto"/>
          <w:sz w:val="24"/>
          <w:szCs w:val="24"/>
        </w:rPr>
        <w:t xml:space="preserve">o person with a conflict of interest relating to a particular investment decision may take part in that decision.  </w:t>
      </w:r>
    </w:p>
    <w:p w14:paraId="1A656CCF" w14:textId="77777777" w:rsidR="005E340B" w:rsidRDefault="005E340B" w:rsidP="005E340B"/>
    <w:p w14:paraId="004485ED" w14:textId="0116592D" w:rsidR="008F3BB7" w:rsidRPr="00F30154" w:rsidRDefault="00851DEE" w:rsidP="00AE11AE">
      <w:pPr>
        <w:pStyle w:val="BodyTextGrey"/>
        <w:rPr>
          <w:b/>
          <w:bCs/>
          <w:sz w:val="24"/>
          <w:szCs w:val="24"/>
        </w:rPr>
      </w:pPr>
      <w:r w:rsidRPr="00F30154">
        <w:rPr>
          <w:b/>
          <w:bCs/>
          <w:iCs w:val="0"/>
          <w:sz w:val="24"/>
          <w:szCs w:val="24"/>
        </w:rPr>
        <w:t xml:space="preserve">Standards and behaviours </w:t>
      </w:r>
    </w:p>
    <w:p w14:paraId="234A0D97" w14:textId="7FB5664B" w:rsidR="00F30154" w:rsidRDefault="008F3BB7" w:rsidP="00F30154">
      <w:pPr>
        <w:pStyle w:val="Heading2Num"/>
        <w:rPr>
          <w:b w:val="0"/>
          <w:bCs/>
          <w:color w:val="auto"/>
          <w:sz w:val="24"/>
          <w:szCs w:val="24"/>
        </w:rPr>
      </w:pPr>
      <w:r w:rsidRPr="00F30154">
        <w:rPr>
          <w:b w:val="0"/>
          <w:bCs/>
          <w:color w:val="auto"/>
          <w:sz w:val="24"/>
          <w:szCs w:val="24"/>
        </w:rPr>
        <w:t>It is important that those managing the Fund adhere to the highest standards of public office</w:t>
      </w:r>
      <w:r w:rsidR="00F30154">
        <w:rPr>
          <w:b w:val="0"/>
          <w:bCs/>
          <w:color w:val="auto"/>
          <w:sz w:val="24"/>
          <w:szCs w:val="24"/>
        </w:rPr>
        <w:t>.</w:t>
      </w:r>
    </w:p>
    <w:p w14:paraId="6D22362B" w14:textId="77777777" w:rsidR="00F30154" w:rsidRPr="00F30154" w:rsidRDefault="00F30154" w:rsidP="00F30154">
      <w:pPr>
        <w:pStyle w:val="BodyTextGrey"/>
      </w:pPr>
    </w:p>
    <w:p w14:paraId="6990144F" w14:textId="7EAF558E" w:rsidR="00AE11AE" w:rsidRPr="00F30154" w:rsidRDefault="00294668" w:rsidP="00D8596F">
      <w:pPr>
        <w:pStyle w:val="Heading2Num"/>
        <w:rPr>
          <w:b w:val="0"/>
          <w:bCs/>
          <w:color w:val="auto"/>
          <w:sz w:val="24"/>
          <w:szCs w:val="24"/>
        </w:rPr>
      </w:pPr>
      <w:r w:rsidRPr="00F30154">
        <w:rPr>
          <w:b w:val="0"/>
          <w:bCs/>
          <w:color w:val="auto"/>
          <w:sz w:val="24"/>
          <w:szCs w:val="24"/>
        </w:rPr>
        <w:t xml:space="preserve">The </w:t>
      </w:r>
      <w:r w:rsidR="003D715A" w:rsidRPr="00F30154">
        <w:rPr>
          <w:b w:val="0"/>
          <w:bCs/>
          <w:color w:val="auto"/>
          <w:sz w:val="24"/>
          <w:szCs w:val="24"/>
        </w:rPr>
        <w:t>Council’s Code</w:t>
      </w:r>
      <w:r w:rsidR="00152CAC" w:rsidRPr="00F30154">
        <w:rPr>
          <w:b w:val="0"/>
          <w:bCs/>
          <w:color w:val="auto"/>
          <w:sz w:val="24"/>
          <w:szCs w:val="24"/>
        </w:rPr>
        <w:t xml:space="preserve"> of Conduct for Members</w:t>
      </w:r>
      <w:r w:rsidRPr="00F30154">
        <w:rPr>
          <w:b w:val="0"/>
          <w:bCs/>
          <w:color w:val="auto"/>
          <w:sz w:val="24"/>
          <w:szCs w:val="24"/>
        </w:rPr>
        <w:t xml:space="preserve"> applies to all members or voting co-opted members of the Council.  In addition, the code has been adopted to apply to all members of the Pension Committee and Local Pension Board.  The policy </w:t>
      </w:r>
      <w:r w:rsidR="00D8596F" w:rsidRPr="00F30154">
        <w:rPr>
          <w:b w:val="0"/>
          <w:bCs/>
          <w:color w:val="auto"/>
          <w:sz w:val="24"/>
          <w:szCs w:val="24"/>
        </w:rPr>
        <w:t>sets out the Council’s approach to</w:t>
      </w:r>
    </w:p>
    <w:p w14:paraId="213FE76A" w14:textId="532B36B9"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Standards of behaviour </w:t>
      </w:r>
    </w:p>
    <w:p w14:paraId="3BDF3BFC" w14:textId="368F01ED"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Registration of members’ interests</w:t>
      </w:r>
    </w:p>
    <w:p w14:paraId="560E6C0A" w14:textId="77777777"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Disclosable pecuniary interests </w:t>
      </w:r>
    </w:p>
    <w:p w14:paraId="5D82B6B1" w14:textId="77777777"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Sensitive interests </w:t>
      </w:r>
    </w:p>
    <w:p w14:paraId="2749AD74" w14:textId="3B932611" w:rsidR="00D8596F" w:rsidRDefault="00D8596F" w:rsidP="00F30154">
      <w:pPr>
        <w:pStyle w:val="Heading3Num"/>
        <w:numPr>
          <w:ilvl w:val="3"/>
          <w:numId w:val="32"/>
        </w:numPr>
      </w:pPr>
      <w:r w:rsidRPr="00F30154">
        <w:rPr>
          <w:b w:val="0"/>
          <w:bCs/>
          <w:color w:val="auto"/>
          <w:sz w:val="24"/>
          <w:szCs w:val="24"/>
        </w:rPr>
        <w:t xml:space="preserve">Gifts and hospitality  </w:t>
      </w:r>
    </w:p>
    <w:p w14:paraId="172836B7" w14:textId="77777777" w:rsidR="00293175" w:rsidRPr="00293175" w:rsidRDefault="00293175" w:rsidP="00293175">
      <w:pPr>
        <w:pStyle w:val="BodyTextGrey"/>
      </w:pPr>
    </w:p>
    <w:p w14:paraId="6F8C5EFE" w14:textId="6695F5CD" w:rsidR="00CC2096" w:rsidRDefault="008F3BB7" w:rsidP="00293175">
      <w:pPr>
        <w:pStyle w:val="Heading4"/>
        <w:numPr>
          <w:ilvl w:val="0"/>
          <w:numId w:val="0"/>
        </w:numPr>
        <w:ind w:left="864" w:hanging="864"/>
        <w:rPr>
          <w:sz w:val="24"/>
          <w:szCs w:val="24"/>
        </w:rPr>
      </w:pPr>
      <w:r w:rsidRPr="00F30154">
        <w:rPr>
          <w:sz w:val="24"/>
          <w:szCs w:val="24"/>
        </w:rPr>
        <w:t xml:space="preserve">Pooling </w:t>
      </w:r>
    </w:p>
    <w:p w14:paraId="2203B5C8" w14:textId="77777777" w:rsidR="00F30154" w:rsidRPr="00F30154" w:rsidRDefault="00F30154" w:rsidP="00F30154">
      <w:pPr>
        <w:pStyle w:val="BodyTextGrey"/>
      </w:pPr>
    </w:p>
    <w:p w14:paraId="69736438" w14:textId="73C5E9F0" w:rsidR="00C70341" w:rsidRDefault="00857221" w:rsidP="00F30154">
      <w:pPr>
        <w:pStyle w:val="Heading2Num"/>
        <w:rPr>
          <w:b w:val="0"/>
          <w:bCs/>
          <w:color w:val="auto"/>
          <w:sz w:val="24"/>
          <w:szCs w:val="24"/>
        </w:rPr>
      </w:pPr>
      <w:r w:rsidRPr="00C70341">
        <w:rPr>
          <w:b w:val="0"/>
          <w:bCs/>
          <w:color w:val="auto"/>
          <w:sz w:val="24"/>
          <w:szCs w:val="24"/>
        </w:rPr>
        <w:t>The Council</w:t>
      </w:r>
      <w:r w:rsidRPr="00F30154">
        <w:rPr>
          <w:b w:val="0"/>
          <w:bCs/>
          <w:color w:val="auto"/>
          <w:sz w:val="24"/>
          <w:szCs w:val="24"/>
        </w:rPr>
        <w:t xml:space="preserve"> is one of</w:t>
      </w:r>
      <w:r w:rsidR="00883A10" w:rsidRPr="00F30154">
        <w:rPr>
          <w:b w:val="0"/>
          <w:bCs/>
          <w:color w:val="auto"/>
          <w:sz w:val="24"/>
          <w:szCs w:val="24"/>
        </w:rPr>
        <w:t xml:space="preserve"> </w:t>
      </w:r>
      <w:r w:rsidR="006346D7" w:rsidRPr="00F30154">
        <w:rPr>
          <w:b w:val="0"/>
          <w:bCs/>
          <w:color w:val="auto"/>
          <w:sz w:val="24"/>
          <w:szCs w:val="24"/>
        </w:rPr>
        <w:t>32</w:t>
      </w:r>
      <w:r w:rsidR="00883A10" w:rsidRPr="00F30154">
        <w:rPr>
          <w:b w:val="0"/>
          <w:bCs/>
          <w:color w:val="auto"/>
          <w:sz w:val="24"/>
          <w:szCs w:val="24"/>
        </w:rPr>
        <w:t xml:space="preserve"> equal shareholders in the </w:t>
      </w:r>
      <w:r w:rsidR="006346D7" w:rsidRPr="00F30154">
        <w:rPr>
          <w:b w:val="0"/>
          <w:bCs/>
          <w:color w:val="auto"/>
          <w:sz w:val="24"/>
          <w:szCs w:val="24"/>
        </w:rPr>
        <w:t xml:space="preserve">London LGPS CIV Ltd </w:t>
      </w:r>
      <w:r w:rsidR="00883A10" w:rsidRPr="00F30154">
        <w:rPr>
          <w:b w:val="0"/>
          <w:bCs/>
          <w:color w:val="auto"/>
          <w:sz w:val="24"/>
          <w:szCs w:val="24"/>
        </w:rPr>
        <w:t>(“</w:t>
      </w:r>
      <w:r w:rsidR="006346D7" w:rsidRPr="00F30154">
        <w:rPr>
          <w:b w:val="0"/>
          <w:bCs/>
          <w:color w:val="auto"/>
          <w:sz w:val="24"/>
          <w:szCs w:val="24"/>
        </w:rPr>
        <w:t>LCIV</w:t>
      </w:r>
      <w:r w:rsidR="00883A10" w:rsidRPr="00F30154">
        <w:rPr>
          <w:b w:val="0"/>
          <w:bCs/>
          <w:color w:val="auto"/>
          <w:sz w:val="24"/>
          <w:szCs w:val="24"/>
        </w:rPr>
        <w:t xml:space="preserve">”).  The shareholders, as LGPS administering authorities, also purchase investment management services from </w:t>
      </w:r>
      <w:r w:rsidR="006346D7" w:rsidRPr="00F30154">
        <w:rPr>
          <w:b w:val="0"/>
          <w:bCs/>
          <w:color w:val="auto"/>
          <w:sz w:val="24"/>
          <w:szCs w:val="24"/>
        </w:rPr>
        <w:t>LCIV</w:t>
      </w:r>
      <w:r w:rsidR="00883A10" w:rsidRPr="00F30154">
        <w:rPr>
          <w:b w:val="0"/>
          <w:bCs/>
          <w:color w:val="auto"/>
          <w:sz w:val="24"/>
          <w:szCs w:val="24"/>
        </w:rPr>
        <w:t xml:space="preserve">.  </w:t>
      </w:r>
      <w:r w:rsidR="003D59B2" w:rsidRPr="00F30154">
        <w:rPr>
          <w:b w:val="0"/>
          <w:bCs/>
          <w:color w:val="auto"/>
          <w:sz w:val="24"/>
          <w:szCs w:val="24"/>
        </w:rPr>
        <w:t>The nature of this relationship has the potential to lead to conflicts of interest that must be managed.  The following mechanisms are in place</w:t>
      </w:r>
      <w:r w:rsidR="00C70341">
        <w:rPr>
          <w:b w:val="0"/>
          <w:bCs/>
          <w:color w:val="auto"/>
          <w:sz w:val="24"/>
          <w:szCs w:val="24"/>
        </w:rPr>
        <w:t>.</w:t>
      </w:r>
    </w:p>
    <w:p w14:paraId="0AAC97AC" w14:textId="77777777" w:rsidR="00C70341" w:rsidRPr="00C70341" w:rsidRDefault="00C70341" w:rsidP="00C70341">
      <w:pPr>
        <w:pStyle w:val="BodyTextGrey"/>
      </w:pPr>
    </w:p>
    <w:p w14:paraId="1B984448" w14:textId="531A1C1E" w:rsidR="00C70341" w:rsidRPr="000534C2" w:rsidRDefault="00375145" w:rsidP="000534C2">
      <w:pPr>
        <w:pStyle w:val="Heading2Num"/>
        <w:rPr>
          <w:b w:val="0"/>
          <w:bCs/>
          <w:color w:val="auto"/>
          <w:sz w:val="24"/>
          <w:szCs w:val="24"/>
        </w:rPr>
      </w:pPr>
      <w:r w:rsidRPr="00C70341">
        <w:rPr>
          <w:b w:val="0"/>
          <w:bCs/>
          <w:color w:val="auto"/>
          <w:sz w:val="24"/>
          <w:szCs w:val="24"/>
        </w:rPr>
        <w:lastRenderedPageBreak/>
        <w:t xml:space="preserve">The interests of the shareholders of </w:t>
      </w:r>
      <w:r w:rsidR="000C1F12" w:rsidRPr="00C70341">
        <w:rPr>
          <w:b w:val="0"/>
          <w:bCs/>
          <w:color w:val="auto"/>
          <w:sz w:val="24"/>
          <w:szCs w:val="24"/>
        </w:rPr>
        <w:t xml:space="preserve">LCIV </w:t>
      </w:r>
      <w:r w:rsidRPr="00C70341">
        <w:rPr>
          <w:b w:val="0"/>
          <w:bCs/>
          <w:color w:val="auto"/>
          <w:sz w:val="24"/>
          <w:szCs w:val="24"/>
        </w:rPr>
        <w:t xml:space="preserve">and those of any specific administering authority may not always be aligned.  In order to ensure that the interests of the shareholders and of those procuring services from </w:t>
      </w:r>
      <w:r w:rsidR="000C1F12" w:rsidRPr="00C70341">
        <w:rPr>
          <w:b w:val="0"/>
          <w:bCs/>
          <w:color w:val="auto"/>
          <w:sz w:val="24"/>
          <w:szCs w:val="24"/>
        </w:rPr>
        <w:t xml:space="preserve">LCIV </w:t>
      </w:r>
      <w:r w:rsidRPr="00C70341">
        <w:rPr>
          <w:b w:val="0"/>
          <w:bCs/>
          <w:color w:val="auto"/>
          <w:sz w:val="24"/>
          <w:szCs w:val="24"/>
        </w:rPr>
        <w:t>are both protected it is important that there is appropriate separation between the two functions.  T</w:t>
      </w:r>
      <w:r w:rsidR="006346D7" w:rsidRPr="00C70341">
        <w:rPr>
          <w:b w:val="0"/>
          <w:bCs/>
          <w:color w:val="auto"/>
          <w:sz w:val="24"/>
          <w:szCs w:val="24"/>
        </w:rPr>
        <w:t xml:space="preserve">o achieve this </w:t>
      </w:r>
      <w:r w:rsidR="00C70341">
        <w:rPr>
          <w:b w:val="0"/>
          <w:bCs/>
          <w:color w:val="auto"/>
          <w:sz w:val="24"/>
          <w:szCs w:val="24"/>
        </w:rPr>
        <w:t>the</w:t>
      </w:r>
      <w:r w:rsidR="000534C2">
        <w:rPr>
          <w:b w:val="0"/>
          <w:bCs/>
          <w:color w:val="auto"/>
          <w:sz w:val="24"/>
          <w:szCs w:val="24"/>
        </w:rPr>
        <w:t xml:space="preserve"> shareholder representative (who is also the Chair of the Pension Fund Committee)</w:t>
      </w:r>
      <w:r w:rsidR="00C70341" w:rsidRPr="000534C2">
        <w:rPr>
          <w:b w:val="0"/>
          <w:bCs/>
          <w:color w:val="auto"/>
          <w:sz w:val="24"/>
          <w:szCs w:val="24"/>
        </w:rPr>
        <w:t xml:space="preserve"> </w:t>
      </w:r>
      <w:r w:rsidR="000534C2">
        <w:rPr>
          <w:b w:val="0"/>
          <w:bCs/>
          <w:color w:val="auto"/>
          <w:sz w:val="24"/>
          <w:szCs w:val="24"/>
        </w:rPr>
        <w:t xml:space="preserve">receives appropriate professional advice on any matters on the agenda for the shareholders’ meeting where a conflict may arise. </w:t>
      </w:r>
    </w:p>
    <w:p w14:paraId="4E23D2C3" w14:textId="77777777" w:rsidR="000534C2" w:rsidRPr="000534C2" w:rsidRDefault="000534C2" w:rsidP="000534C2">
      <w:pPr>
        <w:pStyle w:val="BodyTextGrey"/>
      </w:pPr>
    </w:p>
    <w:p w14:paraId="386C5758" w14:textId="5F183E8A" w:rsidR="00375145" w:rsidRPr="00C70341" w:rsidRDefault="004A5B6D" w:rsidP="008F0A52">
      <w:pPr>
        <w:pStyle w:val="Heading2Num"/>
        <w:rPr>
          <w:b w:val="0"/>
          <w:bCs/>
          <w:color w:val="auto"/>
          <w:sz w:val="24"/>
          <w:szCs w:val="24"/>
        </w:rPr>
      </w:pPr>
      <w:r w:rsidRPr="00C70341">
        <w:rPr>
          <w:b w:val="0"/>
          <w:bCs/>
          <w:color w:val="auto"/>
          <w:sz w:val="24"/>
          <w:szCs w:val="24"/>
        </w:rPr>
        <w:t xml:space="preserve">London CIV maintains policies and procedures that mitigate the risks of perceived, potential and actual conflicts, </w:t>
      </w:r>
      <w:r w:rsidR="00060967" w:rsidRPr="00C70341">
        <w:rPr>
          <w:b w:val="0"/>
          <w:bCs/>
          <w:color w:val="auto"/>
          <w:sz w:val="24"/>
          <w:szCs w:val="24"/>
        </w:rPr>
        <w:t>which are summarised below</w:t>
      </w:r>
      <w:r w:rsidR="00375145" w:rsidRPr="00C70341">
        <w:rPr>
          <w:b w:val="0"/>
          <w:bCs/>
          <w:color w:val="auto"/>
          <w:sz w:val="24"/>
          <w:szCs w:val="24"/>
        </w:rPr>
        <w:t>;</w:t>
      </w:r>
    </w:p>
    <w:p w14:paraId="019D5971"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Ensuring all staff discuss any foreseen potential conflict of interest from voting or engagement with their line manager and report to the Compliance and Risk Team</w:t>
      </w:r>
    </w:p>
    <w:p w14:paraId="2723CEE3"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Any potential conflicts arising over LCIV’s approach to voting or engagement are discussed with the Chief Investment Officer (“CIO”) and reported to the Compliance and Risk Team</w:t>
      </w:r>
    </w:p>
    <w:p w14:paraId="4CE12AC1"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Split voting in exceptional circumstances in the event of a potential conflict</w:t>
      </w:r>
    </w:p>
    <w:p w14:paraId="1A87B767"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The Investment Oversight Committee (“IOC”) review voting decisions and engagement activities on a regular basis</w:t>
      </w:r>
    </w:p>
    <w:p w14:paraId="0B71F89A" w14:textId="7085C1D3" w:rsidR="004A5B6D" w:rsidRPr="00C70341" w:rsidRDefault="004A5B6D" w:rsidP="00C70341">
      <w:pPr>
        <w:pStyle w:val="Heading2Num"/>
        <w:numPr>
          <w:ilvl w:val="0"/>
          <w:numId w:val="18"/>
        </w:numPr>
        <w:rPr>
          <w:b w:val="0"/>
          <w:bCs/>
          <w:color w:val="auto"/>
          <w:sz w:val="24"/>
          <w:szCs w:val="24"/>
        </w:rPr>
      </w:pPr>
      <w:r w:rsidRPr="00C70341">
        <w:rPr>
          <w:b w:val="0"/>
          <w:bCs/>
          <w:color w:val="auto"/>
          <w:sz w:val="24"/>
          <w:szCs w:val="24"/>
        </w:rPr>
        <w:t>Allowing any unforeseen conflicts of interests to follow an escalation procedure involving the CIO</w:t>
      </w:r>
      <w:r w:rsidR="00C70341">
        <w:rPr>
          <w:b w:val="0"/>
          <w:bCs/>
          <w:color w:val="auto"/>
          <w:sz w:val="24"/>
          <w:szCs w:val="24"/>
        </w:rPr>
        <w:t>.</w:t>
      </w:r>
    </w:p>
    <w:p w14:paraId="08940869" w14:textId="612DFEEF" w:rsidR="00375145" w:rsidRPr="00375145" w:rsidRDefault="00375145" w:rsidP="00375145">
      <w:pPr>
        <w:rPr>
          <w:rFonts w:ascii="Arial" w:hAnsi="Arial" w:cs="Arial"/>
          <w:iCs/>
          <w:color w:val="455560"/>
        </w:rPr>
      </w:pPr>
      <w:r w:rsidRPr="00375145">
        <w:rPr>
          <w:rFonts w:ascii="Helvetica" w:hAnsi="Helvetica" w:cs="Helvetica"/>
          <w:color w:val="2D1535"/>
          <w:sz w:val="24"/>
          <w:szCs w:val="24"/>
          <w:lang w:eastAsia="en-GB"/>
        </w:rPr>
        <w:t> </w:t>
      </w:r>
    </w:p>
    <w:p w14:paraId="2BBABB9C" w14:textId="6FAB4C42" w:rsidR="00C70341" w:rsidRPr="000534C2" w:rsidRDefault="00375145" w:rsidP="000534C2">
      <w:pPr>
        <w:pStyle w:val="Heading2Num"/>
        <w:spacing w:after="240"/>
        <w:rPr>
          <w:b w:val="0"/>
          <w:bCs/>
          <w:color w:val="auto"/>
          <w:sz w:val="24"/>
          <w:szCs w:val="24"/>
        </w:rPr>
      </w:pPr>
      <w:r w:rsidRPr="000534C2">
        <w:rPr>
          <w:b w:val="0"/>
          <w:bCs/>
          <w:color w:val="auto"/>
          <w:sz w:val="24"/>
          <w:szCs w:val="24"/>
        </w:rPr>
        <w:t xml:space="preserve">It is important that no administering authority has undue influence on decisions made by </w:t>
      </w:r>
      <w:r w:rsidR="0062213B" w:rsidRPr="000534C2">
        <w:rPr>
          <w:b w:val="0"/>
          <w:bCs/>
          <w:color w:val="auto"/>
          <w:sz w:val="24"/>
          <w:szCs w:val="24"/>
        </w:rPr>
        <w:t>LCIV</w:t>
      </w:r>
      <w:r w:rsidR="000534C2">
        <w:rPr>
          <w:b w:val="0"/>
          <w:bCs/>
          <w:color w:val="auto"/>
          <w:sz w:val="24"/>
          <w:szCs w:val="24"/>
        </w:rPr>
        <w:t xml:space="preserve">, and the LCIV’s governance structure ensures that the </w:t>
      </w:r>
      <w:r w:rsidR="0062213B" w:rsidRPr="000534C2">
        <w:rPr>
          <w:b w:val="0"/>
          <w:bCs/>
          <w:color w:val="auto"/>
          <w:sz w:val="24"/>
          <w:szCs w:val="24"/>
        </w:rPr>
        <w:t>LCIV may not favour of any individual or group of funds over the rest.</w:t>
      </w:r>
    </w:p>
    <w:p w14:paraId="30BA660C" w14:textId="4642ADCA" w:rsidR="0062213B" w:rsidRPr="000534C2" w:rsidRDefault="00375145" w:rsidP="00C70341">
      <w:pPr>
        <w:pStyle w:val="Heading2Num"/>
        <w:rPr>
          <w:b w:val="0"/>
          <w:bCs/>
          <w:color w:val="auto"/>
          <w:sz w:val="24"/>
          <w:szCs w:val="24"/>
        </w:rPr>
      </w:pPr>
      <w:r w:rsidRPr="000534C2">
        <w:rPr>
          <w:b w:val="0"/>
          <w:bCs/>
          <w:color w:val="auto"/>
          <w:sz w:val="24"/>
          <w:szCs w:val="24"/>
        </w:rPr>
        <w:t xml:space="preserve">Given the nature of the LGPS the </w:t>
      </w:r>
      <w:r w:rsidR="00013F9F" w:rsidRPr="000534C2">
        <w:rPr>
          <w:b w:val="0"/>
          <w:bCs/>
          <w:color w:val="auto"/>
          <w:sz w:val="24"/>
          <w:szCs w:val="24"/>
        </w:rPr>
        <w:t>likelihood</w:t>
      </w:r>
      <w:r w:rsidR="008E61B5" w:rsidRPr="000534C2">
        <w:rPr>
          <w:b w:val="0"/>
          <w:bCs/>
          <w:color w:val="auto"/>
          <w:sz w:val="24"/>
          <w:szCs w:val="24"/>
        </w:rPr>
        <w:t xml:space="preserve"> </w:t>
      </w:r>
      <w:r w:rsidRPr="000534C2">
        <w:rPr>
          <w:b w:val="0"/>
          <w:bCs/>
          <w:color w:val="auto"/>
          <w:sz w:val="24"/>
          <w:szCs w:val="24"/>
        </w:rPr>
        <w:t>exists that individuals with particular skills may</w:t>
      </w:r>
      <w:r w:rsidR="00985F6E" w:rsidRPr="000534C2">
        <w:rPr>
          <w:b w:val="0"/>
          <w:bCs/>
          <w:color w:val="auto"/>
          <w:sz w:val="24"/>
          <w:szCs w:val="24"/>
        </w:rPr>
        <w:t xml:space="preserve"> move</w:t>
      </w:r>
      <w:r w:rsidRPr="000534C2">
        <w:rPr>
          <w:b w:val="0"/>
          <w:bCs/>
          <w:color w:val="auto"/>
          <w:sz w:val="24"/>
          <w:szCs w:val="24"/>
        </w:rPr>
        <w:t xml:space="preserve"> from employment with an administering authority to </w:t>
      </w:r>
      <w:r w:rsidR="0062213B" w:rsidRPr="000534C2">
        <w:rPr>
          <w:b w:val="0"/>
          <w:bCs/>
          <w:color w:val="auto"/>
          <w:sz w:val="24"/>
          <w:szCs w:val="24"/>
        </w:rPr>
        <w:t>LCIV</w:t>
      </w:r>
      <w:r w:rsidRPr="000534C2">
        <w:rPr>
          <w:b w:val="0"/>
          <w:bCs/>
          <w:color w:val="auto"/>
          <w:sz w:val="24"/>
          <w:szCs w:val="24"/>
        </w:rPr>
        <w:t xml:space="preserve"> or the other way around.</w:t>
      </w:r>
      <w:r w:rsidR="00024DA2" w:rsidRPr="000534C2">
        <w:rPr>
          <w:b w:val="0"/>
          <w:bCs/>
          <w:color w:val="auto"/>
          <w:sz w:val="24"/>
          <w:szCs w:val="24"/>
        </w:rPr>
        <w:t xml:space="preserve">  This is perfectly appropriate, and the transfer of knowledge can be beneficial to all parties.  However, it is important that there is no suggestion that any individual is in a position to influence unduly </w:t>
      </w:r>
      <w:r w:rsidR="00B42A0B" w:rsidRPr="000534C2">
        <w:rPr>
          <w:b w:val="0"/>
          <w:bCs/>
          <w:color w:val="auto"/>
          <w:sz w:val="24"/>
          <w:szCs w:val="24"/>
        </w:rPr>
        <w:t xml:space="preserve">the </w:t>
      </w:r>
      <w:r w:rsidR="00024DA2" w:rsidRPr="000534C2">
        <w:rPr>
          <w:b w:val="0"/>
          <w:bCs/>
          <w:color w:val="auto"/>
          <w:sz w:val="24"/>
          <w:szCs w:val="24"/>
        </w:rPr>
        <w:t xml:space="preserve">recruitment or remuneration setting processes.  This is managed by ensuring that all recruitment to </w:t>
      </w:r>
      <w:r w:rsidR="0062213B" w:rsidRPr="000534C2">
        <w:rPr>
          <w:b w:val="0"/>
          <w:bCs/>
          <w:color w:val="auto"/>
          <w:sz w:val="24"/>
          <w:szCs w:val="24"/>
        </w:rPr>
        <w:t>LCIV</w:t>
      </w:r>
      <w:r w:rsidR="00024DA2" w:rsidRPr="000534C2">
        <w:rPr>
          <w:b w:val="0"/>
          <w:bCs/>
          <w:color w:val="auto"/>
          <w:sz w:val="24"/>
          <w:szCs w:val="24"/>
        </w:rPr>
        <w:t xml:space="preserve"> and to the constituent funds is carried out through a robust, open</w:t>
      </w:r>
      <w:r w:rsidR="00B42A0B" w:rsidRPr="000534C2">
        <w:rPr>
          <w:b w:val="0"/>
          <w:bCs/>
          <w:color w:val="auto"/>
          <w:sz w:val="24"/>
          <w:szCs w:val="24"/>
        </w:rPr>
        <w:t>, competitive</w:t>
      </w:r>
      <w:r w:rsidR="00024DA2" w:rsidRPr="000534C2">
        <w:rPr>
          <w:b w:val="0"/>
          <w:bCs/>
          <w:color w:val="auto"/>
          <w:sz w:val="24"/>
          <w:szCs w:val="24"/>
        </w:rPr>
        <w:t xml:space="preserve"> recruitment process</w:t>
      </w:r>
      <w:r w:rsidR="00B42A0B" w:rsidRPr="000534C2">
        <w:rPr>
          <w:b w:val="0"/>
          <w:bCs/>
          <w:color w:val="auto"/>
          <w:sz w:val="24"/>
          <w:szCs w:val="24"/>
        </w:rPr>
        <w:t xml:space="preserve"> involving HR professionals.  </w:t>
      </w:r>
    </w:p>
    <w:p w14:paraId="79E9B671" w14:textId="77777777" w:rsidR="0062213B" w:rsidRPr="0062213B" w:rsidRDefault="0062213B" w:rsidP="0062213B">
      <w:pPr>
        <w:pStyle w:val="ListParagraph"/>
        <w:rPr>
          <w:rFonts w:ascii="Arial" w:eastAsia="Times New Roman" w:hAnsi="Arial" w:cs="Arial"/>
          <w:iCs/>
          <w:color w:val="455560"/>
          <w:sz w:val="20"/>
          <w:szCs w:val="20"/>
        </w:rPr>
      </w:pPr>
    </w:p>
    <w:p w14:paraId="69A0017D" w14:textId="0F50F6FD" w:rsidR="00E87061" w:rsidRPr="000534C2" w:rsidRDefault="008F3BB7" w:rsidP="009C1499">
      <w:pPr>
        <w:pStyle w:val="BodyTextGrey"/>
        <w:rPr>
          <w:b/>
          <w:bCs/>
          <w:sz w:val="24"/>
          <w:szCs w:val="24"/>
        </w:rPr>
      </w:pPr>
      <w:r w:rsidRPr="000534C2">
        <w:rPr>
          <w:b/>
          <w:bCs/>
          <w:sz w:val="24"/>
          <w:szCs w:val="24"/>
        </w:rPr>
        <w:t xml:space="preserve">Third parties </w:t>
      </w:r>
    </w:p>
    <w:p w14:paraId="3E7EC3B5" w14:textId="24650B27" w:rsidR="00A564A9" w:rsidRPr="000534C2" w:rsidRDefault="00FE3DFF" w:rsidP="000534C2">
      <w:pPr>
        <w:pStyle w:val="Heading2Num"/>
        <w:rPr>
          <w:b w:val="0"/>
          <w:bCs/>
          <w:color w:val="auto"/>
          <w:sz w:val="24"/>
          <w:szCs w:val="24"/>
        </w:rPr>
      </w:pPr>
      <w:r w:rsidRPr="000534C2">
        <w:rPr>
          <w:b w:val="0"/>
          <w:bCs/>
          <w:color w:val="auto"/>
          <w:sz w:val="24"/>
          <w:szCs w:val="24"/>
        </w:rPr>
        <w:t xml:space="preserve">The Fund </w:t>
      </w:r>
      <w:r w:rsidR="0021370F" w:rsidRPr="000534C2">
        <w:rPr>
          <w:b w:val="0"/>
          <w:bCs/>
          <w:color w:val="auto"/>
          <w:sz w:val="24"/>
          <w:szCs w:val="24"/>
        </w:rPr>
        <w:t>requires its professional advisors</w:t>
      </w:r>
      <w:r w:rsidR="0095704E" w:rsidRPr="000534C2">
        <w:rPr>
          <w:b w:val="0"/>
          <w:bCs/>
          <w:color w:val="auto"/>
          <w:sz w:val="24"/>
          <w:szCs w:val="24"/>
        </w:rPr>
        <w:t xml:space="preserve">, suppliers and any other </w:t>
      </w:r>
      <w:r w:rsidR="008F3BB7" w:rsidRPr="000534C2">
        <w:rPr>
          <w:b w:val="0"/>
          <w:bCs/>
          <w:color w:val="auto"/>
          <w:sz w:val="24"/>
          <w:szCs w:val="24"/>
        </w:rPr>
        <w:t>third-party</w:t>
      </w:r>
      <w:r w:rsidR="0095704E" w:rsidRPr="000534C2">
        <w:rPr>
          <w:b w:val="0"/>
          <w:bCs/>
          <w:color w:val="auto"/>
          <w:sz w:val="24"/>
          <w:szCs w:val="24"/>
        </w:rPr>
        <w:t xml:space="preserve"> providing advice or services</w:t>
      </w:r>
      <w:r w:rsidR="0021370F" w:rsidRPr="000534C2">
        <w:rPr>
          <w:b w:val="0"/>
          <w:bCs/>
          <w:color w:val="auto"/>
          <w:sz w:val="24"/>
          <w:szCs w:val="24"/>
        </w:rPr>
        <w:t xml:space="preserve"> to have in place conflict management plans which set out how those firms will</w:t>
      </w:r>
      <w:r w:rsidR="00A564A9" w:rsidRPr="000534C2">
        <w:rPr>
          <w:b w:val="0"/>
          <w:bCs/>
          <w:color w:val="auto"/>
          <w:sz w:val="24"/>
          <w:szCs w:val="24"/>
        </w:rPr>
        <w:t>;</w:t>
      </w:r>
    </w:p>
    <w:p w14:paraId="75A850F6" w14:textId="0BC031FA" w:rsidR="00A564A9" w:rsidRPr="000534C2" w:rsidRDefault="00A564A9" w:rsidP="000534C2">
      <w:pPr>
        <w:pStyle w:val="BodyTextGrey"/>
        <w:numPr>
          <w:ilvl w:val="1"/>
          <w:numId w:val="37"/>
        </w:numPr>
        <w:rPr>
          <w:sz w:val="24"/>
          <w:szCs w:val="24"/>
        </w:rPr>
      </w:pPr>
      <w:r w:rsidRPr="000534C2">
        <w:rPr>
          <w:sz w:val="24"/>
          <w:szCs w:val="24"/>
        </w:rPr>
        <w:t xml:space="preserve">declare any potential conflict of interest that exists on appointment; </w:t>
      </w:r>
    </w:p>
    <w:p w14:paraId="2EF145A4" w14:textId="2C65707C" w:rsidR="00A564A9" w:rsidRPr="000534C2" w:rsidRDefault="00A564A9" w:rsidP="000534C2">
      <w:pPr>
        <w:pStyle w:val="BodyTextGrey"/>
        <w:numPr>
          <w:ilvl w:val="1"/>
          <w:numId w:val="37"/>
        </w:numPr>
        <w:rPr>
          <w:sz w:val="24"/>
          <w:szCs w:val="24"/>
        </w:rPr>
      </w:pPr>
      <w:r w:rsidRPr="000534C2">
        <w:rPr>
          <w:sz w:val="24"/>
          <w:szCs w:val="24"/>
        </w:rPr>
        <w:t xml:space="preserve">communicate with the </w:t>
      </w:r>
      <w:r w:rsidR="000534C2" w:rsidRPr="000534C2">
        <w:rPr>
          <w:sz w:val="24"/>
          <w:szCs w:val="24"/>
        </w:rPr>
        <w:t>Council</w:t>
      </w:r>
      <w:r w:rsidRPr="000534C2">
        <w:rPr>
          <w:sz w:val="24"/>
          <w:szCs w:val="24"/>
        </w:rPr>
        <w:t xml:space="preserve"> on any conflicts of interest that arise during the course of the contact; </w:t>
      </w:r>
    </w:p>
    <w:p w14:paraId="3114C04C" w14:textId="340FE7B2" w:rsidR="00A564A9" w:rsidRPr="000534C2" w:rsidRDefault="00A564A9" w:rsidP="000534C2">
      <w:pPr>
        <w:pStyle w:val="BodyTextGrey"/>
        <w:numPr>
          <w:ilvl w:val="1"/>
          <w:numId w:val="37"/>
        </w:numPr>
        <w:rPr>
          <w:sz w:val="24"/>
          <w:szCs w:val="24"/>
        </w:rPr>
      </w:pPr>
      <w:r w:rsidRPr="000534C2">
        <w:rPr>
          <w:sz w:val="24"/>
          <w:szCs w:val="24"/>
        </w:rPr>
        <w:t xml:space="preserve">put in place processes that will manage those conflicts; </w:t>
      </w:r>
    </w:p>
    <w:p w14:paraId="7CE07904" w14:textId="27B67270" w:rsidR="00AE11AE" w:rsidRPr="000534C2" w:rsidRDefault="00AE11AE" w:rsidP="00AE11AE">
      <w:pPr>
        <w:pStyle w:val="BodyTextGrey"/>
        <w:rPr>
          <w:sz w:val="24"/>
          <w:szCs w:val="24"/>
        </w:rPr>
      </w:pPr>
    </w:p>
    <w:p w14:paraId="1D510749" w14:textId="04B9A69E" w:rsidR="0021370F" w:rsidRPr="000534C2" w:rsidRDefault="003C1A19" w:rsidP="003C1A19">
      <w:pPr>
        <w:pStyle w:val="Heading1Num"/>
        <w:rPr>
          <w:b/>
          <w:bCs/>
          <w:color w:val="auto"/>
          <w:sz w:val="28"/>
          <w:szCs w:val="28"/>
        </w:rPr>
      </w:pPr>
      <w:r w:rsidRPr="000534C2">
        <w:rPr>
          <w:b/>
          <w:bCs/>
          <w:color w:val="auto"/>
          <w:sz w:val="28"/>
          <w:szCs w:val="28"/>
        </w:rPr>
        <w:lastRenderedPageBreak/>
        <w:t>How conflicts of interest will be managed</w:t>
      </w:r>
    </w:p>
    <w:p w14:paraId="6139AE46" w14:textId="3D96FC36" w:rsidR="0095704E" w:rsidRPr="000534C2" w:rsidRDefault="00C06686" w:rsidP="0095704E">
      <w:pPr>
        <w:pStyle w:val="BodyTextGrey"/>
        <w:rPr>
          <w:sz w:val="24"/>
          <w:szCs w:val="24"/>
        </w:rPr>
      </w:pPr>
      <w:r w:rsidRPr="000534C2">
        <w:rPr>
          <w:sz w:val="24"/>
          <w:szCs w:val="24"/>
        </w:rPr>
        <w:t xml:space="preserve">In addition to the framework of polices set out in section 5, </w:t>
      </w:r>
      <w:r w:rsidR="0062213B" w:rsidRPr="000534C2">
        <w:rPr>
          <w:sz w:val="24"/>
          <w:szCs w:val="24"/>
        </w:rPr>
        <w:t>the Council</w:t>
      </w:r>
      <w:r w:rsidRPr="000534C2">
        <w:rPr>
          <w:sz w:val="24"/>
          <w:szCs w:val="24"/>
        </w:rPr>
        <w:t xml:space="preserve"> will manage conflicts of interest in the following way;</w:t>
      </w:r>
    </w:p>
    <w:p w14:paraId="4C272C1A" w14:textId="7B9C4BCF" w:rsidR="00C06686" w:rsidRPr="000534C2" w:rsidRDefault="00C06686" w:rsidP="005D0D56">
      <w:pPr>
        <w:pStyle w:val="Heading2Num"/>
        <w:rPr>
          <w:bCs/>
          <w:color w:val="455560"/>
          <w:sz w:val="24"/>
          <w:szCs w:val="24"/>
        </w:rPr>
      </w:pPr>
      <w:r w:rsidRPr="000534C2">
        <w:rPr>
          <w:bCs/>
          <w:color w:val="455560"/>
          <w:sz w:val="24"/>
          <w:szCs w:val="24"/>
        </w:rPr>
        <w:t>Declarations of interest on appointment</w:t>
      </w:r>
    </w:p>
    <w:p w14:paraId="2926EBA0" w14:textId="6A61B99A" w:rsidR="0095704E" w:rsidRPr="000534C2" w:rsidRDefault="00C06686" w:rsidP="0095704E">
      <w:pPr>
        <w:pStyle w:val="BodyTextGrey"/>
        <w:rPr>
          <w:sz w:val="24"/>
          <w:szCs w:val="24"/>
        </w:rPr>
      </w:pPr>
      <w:r w:rsidRPr="000534C2">
        <w:rPr>
          <w:sz w:val="24"/>
          <w:szCs w:val="24"/>
        </w:rPr>
        <w:t xml:space="preserve">On appointment to the </w:t>
      </w:r>
      <w:r w:rsidR="000534C2" w:rsidRPr="000534C2">
        <w:rPr>
          <w:sz w:val="24"/>
          <w:szCs w:val="24"/>
        </w:rPr>
        <w:t>P</w:t>
      </w:r>
      <w:r w:rsidRPr="000534C2">
        <w:rPr>
          <w:sz w:val="24"/>
          <w:szCs w:val="24"/>
        </w:rPr>
        <w:t xml:space="preserve">ension </w:t>
      </w:r>
      <w:r w:rsidR="000534C2" w:rsidRPr="000534C2">
        <w:rPr>
          <w:sz w:val="24"/>
          <w:szCs w:val="24"/>
        </w:rPr>
        <w:t>Fund C</w:t>
      </w:r>
      <w:r w:rsidRPr="000534C2">
        <w:rPr>
          <w:sz w:val="24"/>
          <w:szCs w:val="24"/>
        </w:rPr>
        <w:t xml:space="preserve">ommittee, </w:t>
      </w:r>
      <w:r w:rsidR="00FB2B5E" w:rsidRPr="000534C2">
        <w:rPr>
          <w:sz w:val="24"/>
          <w:szCs w:val="24"/>
        </w:rPr>
        <w:t>l</w:t>
      </w:r>
      <w:r w:rsidRPr="000534C2">
        <w:rPr>
          <w:sz w:val="24"/>
          <w:szCs w:val="24"/>
        </w:rPr>
        <w:t xml:space="preserve">ocal </w:t>
      </w:r>
      <w:r w:rsidR="000534C2">
        <w:rPr>
          <w:sz w:val="24"/>
          <w:szCs w:val="24"/>
        </w:rPr>
        <w:t>P</w:t>
      </w:r>
      <w:r w:rsidRPr="000534C2">
        <w:rPr>
          <w:sz w:val="24"/>
          <w:szCs w:val="24"/>
        </w:rPr>
        <w:t xml:space="preserve">ension </w:t>
      </w:r>
      <w:r w:rsidR="000534C2">
        <w:rPr>
          <w:sz w:val="24"/>
          <w:szCs w:val="24"/>
        </w:rPr>
        <w:t>B</w:t>
      </w:r>
      <w:r w:rsidRPr="000534C2">
        <w:rPr>
          <w:sz w:val="24"/>
          <w:szCs w:val="24"/>
        </w:rPr>
        <w:t xml:space="preserve">oard or to </w:t>
      </w:r>
      <w:r w:rsidR="00FB2B5E" w:rsidRPr="000534C2">
        <w:rPr>
          <w:sz w:val="24"/>
          <w:szCs w:val="24"/>
        </w:rPr>
        <w:t xml:space="preserve">a </w:t>
      </w:r>
      <w:r w:rsidRPr="000534C2">
        <w:rPr>
          <w:sz w:val="24"/>
          <w:szCs w:val="24"/>
        </w:rPr>
        <w:t xml:space="preserve">role </w:t>
      </w:r>
      <w:r w:rsidR="000534C2">
        <w:rPr>
          <w:sz w:val="24"/>
          <w:szCs w:val="24"/>
        </w:rPr>
        <w:t>i</w:t>
      </w:r>
      <w:r w:rsidRPr="000534C2">
        <w:rPr>
          <w:sz w:val="24"/>
          <w:szCs w:val="24"/>
        </w:rPr>
        <w:t xml:space="preserve">n the </w:t>
      </w:r>
      <w:r w:rsidR="000534C2">
        <w:rPr>
          <w:sz w:val="24"/>
          <w:szCs w:val="24"/>
        </w:rPr>
        <w:t>Finance Treasury and Pensions Team</w:t>
      </w:r>
      <w:r w:rsidR="00FB2B5E" w:rsidRPr="000534C2">
        <w:rPr>
          <w:sz w:val="24"/>
          <w:szCs w:val="24"/>
        </w:rPr>
        <w:t>, or at the date of commencement of this policy if later, all individuals will be provided with a copy of this policy and be required to complete a declaration of interest form.  This information will be collated in the Fund</w:t>
      </w:r>
      <w:r w:rsidR="00243607" w:rsidRPr="000534C2">
        <w:rPr>
          <w:sz w:val="24"/>
          <w:szCs w:val="24"/>
        </w:rPr>
        <w:t>’s</w:t>
      </w:r>
      <w:r w:rsidR="00FB2B5E" w:rsidRPr="000534C2">
        <w:rPr>
          <w:sz w:val="24"/>
          <w:szCs w:val="24"/>
        </w:rPr>
        <w:t>’ register of interests.</w:t>
      </w:r>
    </w:p>
    <w:p w14:paraId="30631F63" w14:textId="62BF65BF" w:rsidR="00111B82" w:rsidRPr="000534C2" w:rsidRDefault="00FB2B5E" w:rsidP="0095704E">
      <w:pPr>
        <w:pStyle w:val="BodyTextGrey"/>
        <w:rPr>
          <w:sz w:val="24"/>
          <w:szCs w:val="24"/>
        </w:rPr>
      </w:pPr>
      <w:r w:rsidRPr="000534C2">
        <w:rPr>
          <w:sz w:val="24"/>
          <w:szCs w:val="24"/>
        </w:rPr>
        <w:t xml:space="preserve">Advisers and </w:t>
      </w:r>
      <w:r w:rsidR="00243607" w:rsidRPr="000534C2">
        <w:rPr>
          <w:sz w:val="24"/>
          <w:szCs w:val="24"/>
        </w:rPr>
        <w:t>service providers will be provided with a copy of this policy on appointment, or at the date of commencement of this policy if later.  Advis</w:t>
      </w:r>
      <w:r w:rsidR="00CE02A3" w:rsidRPr="000534C2">
        <w:rPr>
          <w:sz w:val="24"/>
          <w:szCs w:val="24"/>
        </w:rPr>
        <w:t>e</w:t>
      </w:r>
      <w:r w:rsidR="00243607" w:rsidRPr="000534C2">
        <w:rPr>
          <w:sz w:val="24"/>
          <w:szCs w:val="24"/>
        </w:rPr>
        <w:t xml:space="preserve">rs </w:t>
      </w:r>
      <w:r w:rsidR="001A0143" w:rsidRPr="000534C2">
        <w:rPr>
          <w:sz w:val="24"/>
          <w:szCs w:val="24"/>
        </w:rPr>
        <w:t xml:space="preserve">and service providers </w:t>
      </w:r>
      <w:r w:rsidR="00243607" w:rsidRPr="000534C2">
        <w:rPr>
          <w:sz w:val="24"/>
          <w:szCs w:val="24"/>
        </w:rPr>
        <w:t xml:space="preserve">must declare any commercial or personal relationships which may result in </w:t>
      </w:r>
      <w:r w:rsidR="00111B82" w:rsidRPr="000534C2">
        <w:rPr>
          <w:sz w:val="24"/>
          <w:szCs w:val="24"/>
        </w:rPr>
        <w:t xml:space="preserve">conflicts of interest arising or which may give the perception that a conflict of interest exists or may do so in future. </w:t>
      </w:r>
    </w:p>
    <w:p w14:paraId="5C945E63" w14:textId="39208A65" w:rsidR="00111B82" w:rsidRPr="000534C2" w:rsidRDefault="00111B82" w:rsidP="005D0D56">
      <w:pPr>
        <w:pStyle w:val="Heading2Num"/>
        <w:rPr>
          <w:bCs/>
          <w:color w:val="455560"/>
          <w:sz w:val="24"/>
          <w:szCs w:val="24"/>
        </w:rPr>
      </w:pPr>
      <w:r w:rsidRPr="000534C2">
        <w:rPr>
          <w:bCs/>
          <w:color w:val="455560"/>
          <w:sz w:val="24"/>
          <w:szCs w:val="24"/>
        </w:rPr>
        <w:t xml:space="preserve">Continued monitoring of potential conflicts of interest </w:t>
      </w:r>
    </w:p>
    <w:p w14:paraId="138A6D66" w14:textId="768B2821" w:rsidR="00C603E5" w:rsidRPr="000534C2" w:rsidRDefault="00C603E5" w:rsidP="0095704E">
      <w:pPr>
        <w:pStyle w:val="BodyTextGrey"/>
        <w:rPr>
          <w:sz w:val="24"/>
          <w:szCs w:val="24"/>
        </w:rPr>
      </w:pPr>
      <w:r w:rsidRPr="000534C2">
        <w:rPr>
          <w:sz w:val="24"/>
          <w:szCs w:val="24"/>
        </w:rPr>
        <w:t>Any individual covered by this policy must declare</w:t>
      </w:r>
      <w:r w:rsidR="006243E4" w:rsidRPr="000534C2">
        <w:rPr>
          <w:sz w:val="24"/>
          <w:szCs w:val="24"/>
        </w:rPr>
        <w:t>, at the earliest opportunity,</w:t>
      </w:r>
      <w:r w:rsidRPr="000534C2">
        <w:rPr>
          <w:sz w:val="24"/>
          <w:szCs w:val="24"/>
        </w:rPr>
        <w:t xml:space="preserve"> if their circumstances change in such a way that a new potential or actual conflict of interest arises</w:t>
      </w:r>
      <w:r w:rsidR="006243E4" w:rsidRPr="000534C2">
        <w:rPr>
          <w:sz w:val="24"/>
          <w:szCs w:val="24"/>
        </w:rPr>
        <w:t>, or if a former conflict ceases to apply</w:t>
      </w:r>
      <w:r w:rsidRPr="000534C2">
        <w:rPr>
          <w:sz w:val="24"/>
          <w:szCs w:val="24"/>
        </w:rPr>
        <w:t>.  The register of interests will be updated accordingly.</w:t>
      </w:r>
    </w:p>
    <w:p w14:paraId="24EFB43A" w14:textId="2FC602ED" w:rsidR="000B77D6" w:rsidRPr="000534C2" w:rsidRDefault="000B77D6" w:rsidP="0095704E">
      <w:pPr>
        <w:pStyle w:val="BodyTextGrey"/>
        <w:rPr>
          <w:sz w:val="24"/>
          <w:szCs w:val="24"/>
        </w:rPr>
      </w:pPr>
      <w:r w:rsidRPr="000534C2">
        <w:rPr>
          <w:sz w:val="24"/>
          <w:szCs w:val="24"/>
        </w:rPr>
        <w:t xml:space="preserve">If any individual covered by this policy becomes aware that a </w:t>
      </w:r>
      <w:r w:rsidR="00111B82" w:rsidRPr="000534C2">
        <w:rPr>
          <w:sz w:val="24"/>
          <w:szCs w:val="24"/>
        </w:rPr>
        <w:t xml:space="preserve">pension committee meeting, local pension board meeting or any other meeting </w:t>
      </w:r>
      <w:r w:rsidR="006243E4" w:rsidRPr="000534C2">
        <w:rPr>
          <w:sz w:val="24"/>
          <w:szCs w:val="24"/>
        </w:rPr>
        <w:t>concerning</w:t>
      </w:r>
      <w:r w:rsidR="00111B82" w:rsidRPr="000534C2">
        <w:rPr>
          <w:sz w:val="24"/>
          <w:szCs w:val="24"/>
        </w:rPr>
        <w:t xml:space="preserve"> matters relating to the Fund</w:t>
      </w:r>
      <w:r w:rsidRPr="000534C2">
        <w:rPr>
          <w:sz w:val="24"/>
          <w:szCs w:val="24"/>
        </w:rPr>
        <w:t xml:space="preserve"> will contain an item that p</w:t>
      </w:r>
      <w:r w:rsidR="003320FD" w:rsidRPr="000534C2">
        <w:rPr>
          <w:sz w:val="24"/>
          <w:szCs w:val="24"/>
        </w:rPr>
        <w:t>l</w:t>
      </w:r>
      <w:r w:rsidRPr="000534C2">
        <w:rPr>
          <w:sz w:val="24"/>
          <w:szCs w:val="24"/>
        </w:rPr>
        <w:t>aces them in a conflicted position they must advi</w:t>
      </w:r>
      <w:r w:rsidR="003320FD" w:rsidRPr="000534C2">
        <w:rPr>
          <w:sz w:val="24"/>
          <w:szCs w:val="24"/>
        </w:rPr>
        <w:t>se</w:t>
      </w:r>
      <w:r w:rsidR="00635332" w:rsidRPr="000534C2">
        <w:rPr>
          <w:sz w:val="24"/>
          <w:szCs w:val="24"/>
        </w:rPr>
        <w:t xml:space="preserve"> the</w:t>
      </w:r>
      <w:r w:rsidRPr="000534C2">
        <w:rPr>
          <w:sz w:val="24"/>
          <w:szCs w:val="24"/>
        </w:rPr>
        <w:t xml:space="preserve"> Chair of the meeting and</w:t>
      </w:r>
      <w:r w:rsidR="0062213B" w:rsidRPr="000534C2">
        <w:rPr>
          <w:sz w:val="24"/>
          <w:szCs w:val="24"/>
        </w:rPr>
        <w:t xml:space="preserve"> </w:t>
      </w:r>
      <w:r w:rsidR="000534C2">
        <w:rPr>
          <w:sz w:val="24"/>
          <w:szCs w:val="24"/>
        </w:rPr>
        <w:t>Treasury and Pensions Manager</w:t>
      </w:r>
      <w:r w:rsidRPr="000534C2">
        <w:rPr>
          <w:sz w:val="24"/>
          <w:szCs w:val="24"/>
        </w:rPr>
        <w:t>.</w:t>
      </w:r>
      <w:r w:rsidR="004E4152" w:rsidRPr="000534C2">
        <w:rPr>
          <w:sz w:val="24"/>
          <w:szCs w:val="24"/>
        </w:rPr>
        <w:t xml:space="preserve">  The</w:t>
      </w:r>
      <w:r w:rsidR="0062213B" w:rsidRPr="000534C2">
        <w:rPr>
          <w:sz w:val="24"/>
          <w:szCs w:val="24"/>
        </w:rPr>
        <w:t xml:space="preserve"> </w:t>
      </w:r>
      <w:r w:rsidR="000534C2">
        <w:rPr>
          <w:sz w:val="24"/>
          <w:szCs w:val="24"/>
        </w:rPr>
        <w:t>Treasury and Pensions Manager</w:t>
      </w:r>
      <w:r w:rsidR="004E4152" w:rsidRPr="000534C2">
        <w:rPr>
          <w:sz w:val="24"/>
          <w:szCs w:val="24"/>
        </w:rPr>
        <w:t xml:space="preserve">, taking </w:t>
      </w:r>
      <w:r w:rsidR="00C603E5" w:rsidRPr="000534C2">
        <w:rPr>
          <w:sz w:val="24"/>
          <w:szCs w:val="24"/>
        </w:rPr>
        <w:t xml:space="preserve">such advice as they consider appropriate will be responsible for determining the action to be taken. </w:t>
      </w:r>
    </w:p>
    <w:p w14:paraId="3F3354BB" w14:textId="53B64852" w:rsidR="004E4152" w:rsidRPr="000534C2" w:rsidRDefault="004E4152" w:rsidP="0095704E">
      <w:pPr>
        <w:pStyle w:val="BodyTextGrey"/>
        <w:rPr>
          <w:sz w:val="24"/>
          <w:szCs w:val="24"/>
        </w:rPr>
      </w:pPr>
      <w:r w:rsidRPr="000534C2">
        <w:rPr>
          <w:sz w:val="24"/>
          <w:szCs w:val="24"/>
        </w:rPr>
        <w:t xml:space="preserve">From time to time a conflict of interest may arise </w:t>
      </w:r>
      <w:r w:rsidR="003320FD" w:rsidRPr="000534C2">
        <w:rPr>
          <w:sz w:val="24"/>
          <w:szCs w:val="24"/>
        </w:rPr>
        <w:t>during</w:t>
      </w:r>
      <w:r w:rsidRPr="000534C2">
        <w:rPr>
          <w:sz w:val="24"/>
          <w:szCs w:val="24"/>
        </w:rPr>
        <w:t xml:space="preserve"> a meeting which was not anticipated prior to the meeting.  In such cases the individual to whom the conflict pertains should advi</w:t>
      </w:r>
      <w:r w:rsidR="00143440" w:rsidRPr="000534C2">
        <w:rPr>
          <w:sz w:val="24"/>
          <w:szCs w:val="24"/>
        </w:rPr>
        <w:t>s</w:t>
      </w:r>
      <w:r w:rsidRPr="000534C2">
        <w:rPr>
          <w:sz w:val="24"/>
          <w:szCs w:val="24"/>
        </w:rPr>
        <w:t xml:space="preserve">e the clerk and make an immediate declaration.  Any other person may make the clerk aware if they believe an individual participating in the meeting has a conflict of interest.  The clerk of the meeting and the </w:t>
      </w:r>
      <w:r w:rsidR="00B95377" w:rsidRPr="000534C2">
        <w:rPr>
          <w:sz w:val="24"/>
          <w:szCs w:val="24"/>
        </w:rPr>
        <w:t>C</w:t>
      </w:r>
      <w:r w:rsidRPr="000534C2">
        <w:rPr>
          <w:sz w:val="24"/>
          <w:szCs w:val="24"/>
        </w:rPr>
        <w:t xml:space="preserve">hair, taking such advice as </w:t>
      </w:r>
      <w:r w:rsidR="00635332" w:rsidRPr="000534C2">
        <w:rPr>
          <w:sz w:val="24"/>
          <w:szCs w:val="24"/>
        </w:rPr>
        <w:t xml:space="preserve">they </w:t>
      </w:r>
      <w:r w:rsidRPr="000534C2">
        <w:rPr>
          <w:sz w:val="24"/>
          <w:szCs w:val="24"/>
        </w:rPr>
        <w:t>consider appropriate</w:t>
      </w:r>
      <w:r w:rsidR="00C603E5" w:rsidRPr="000534C2">
        <w:rPr>
          <w:sz w:val="24"/>
          <w:szCs w:val="24"/>
        </w:rPr>
        <w:t xml:space="preserve"> will be responsible for determining the action to be taken. </w:t>
      </w:r>
    </w:p>
    <w:p w14:paraId="5DDFABA5" w14:textId="6BA7779C" w:rsidR="004E4152" w:rsidRPr="000534C2" w:rsidRDefault="00C603E5" w:rsidP="005D0D56">
      <w:pPr>
        <w:pStyle w:val="Heading2Num"/>
        <w:rPr>
          <w:bCs/>
          <w:color w:val="455560"/>
          <w:sz w:val="24"/>
          <w:szCs w:val="24"/>
        </w:rPr>
      </w:pPr>
      <w:r w:rsidRPr="000534C2">
        <w:rPr>
          <w:bCs/>
          <w:color w:val="455560"/>
          <w:sz w:val="24"/>
          <w:szCs w:val="24"/>
        </w:rPr>
        <w:t>Managing conflicts of interest</w:t>
      </w:r>
    </w:p>
    <w:p w14:paraId="6F96CE58" w14:textId="60E86CBC" w:rsidR="000B77D6" w:rsidRPr="000534C2" w:rsidRDefault="000B77D6" w:rsidP="0095704E">
      <w:pPr>
        <w:pStyle w:val="BodyTextGrey"/>
        <w:rPr>
          <w:sz w:val="24"/>
          <w:szCs w:val="24"/>
        </w:rPr>
      </w:pPr>
      <w:r w:rsidRPr="000534C2">
        <w:rPr>
          <w:sz w:val="24"/>
          <w:szCs w:val="24"/>
        </w:rPr>
        <w:t xml:space="preserve">The options for managing a conflict are </w:t>
      </w:r>
      <w:r w:rsidR="00E21D14" w:rsidRPr="000534C2">
        <w:rPr>
          <w:sz w:val="24"/>
          <w:szCs w:val="24"/>
        </w:rPr>
        <w:t>as follows;</w:t>
      </w:r>
    </w:p>
    <w:p w14:paraId="23FE9735" w14:textId="59044133" w:rsidR="00135CA9" w:rsidRPr="000534C2" w:rsidRDefault="00E21D14" w:rsidP="00551078">
      <w:pPr>
        <w:pStyle w:val="BodyTextGrey"/>
        <w:numPr>
          <w:ilvl w:val="0"/>
          <w:numId w:val="16"/>
        </w:numPr>
        <w:rPr>
          <w:sz w:val="24"/>
          <w:szCs w:val="24"/>
        </w:rPr>
      </w:pPr>
      <w:r w:rsidRPr="000534C2">
        <w:rPr>
          <w:sz w:val="24"/>
          <w:szCs w:val="24"/>
        </w:rPr>
        <w:t xml:space="preserve">The </w:t>
      </w:r>
      <w:r w:rsidR="00551078" w:rsidRPr="000534C2">
        <w:rPr>
          <w:sz w:val="24"/>
          <w:szCs w:val="24"/>
        </w:rPr>
        <w:t>individual</w:t>
      </w:r>
      <w:r w:rsidRPr="000534C2">
        <w:rPr>
          <w:sz w:val="24"/>
          <w:szCs w:val="24"/>
        </w:rPr>
        <w:t xml:space="preserve"> i</w:t>
      </w:r>
      <w:r w:rsidR="000B77D6" w:rsidRPr="000534C2">
        <w:rPr>
          <w:sz w:val="24"/>
          <w:szCs w:val="24"/>
        </w:rPr>
        <w:t xml:space="preserve">s excluded from the meeting for the period during which the item </w:t>
      </w:r>
      <w:r w:rsidR="00BD5484" w:rsidRPr="000534C2">
        <w:rPr>
          <w:sz w:val="24"/>
          <w:szCs w:val="24"/>
        </w:rPr>
        <w:t xml:space="preserve">pertaining to the </w:t>
      </w:r>
      <w:r w:rsidR="000B77D6" w:rsidRPr="000534C2">
        <w:rPr>
          <w:sz w:val="24"/>
          <w:szCs w:val="24"/>
        </w:rPr>
        <w:t>potential or actual conflict of interest</w:t>
      </w:r>
      <w:r w:rsidR="00BD5484" w:rsidRPr="000534C2">
        <w:rPr>
          <w:sz w:val="24"/>
          <w:szCs w:val="24"/>
        </w:rPr>
        <w:t xml:space="preserve"> is discussed.  If the item is </w:t>
      </w:r>
      <w:r w:rsidR="00135CA9" w:rsidRPr="000534C2">
        <w:rPr>
          <w:sz w:val="24"/>
          <w:szCs w:val="24"/>
        </w:rPr>
        <w:t>one in which papers are not made public under Part I of Schedule 12A of the Local Government Act 1972 then the member will not have access to those papers, or minutes relating to that item.</w:t>
      </w:r>
    </w:p>
    <w:p w14:paraId="38F11043" w14:textId="39DFACDD" w:rsidR="00E21D14" w:rsidRPr="000534C2" w:rsidRDefault="00E21D14" w:rsidP="00551078">
      <w:pPr>
        <w:pStyle w:val="BodyTextGrey"/>
        <w:numPr>
          <w:ilvl w:val="0"/>
          <w:numId w:val="16"/>
        </w:numPr>
        <w:rPr>
          <w:sz w:val="24"/>
          <w:szCs w:val="24"/>
        </w:rPr>
      </w:pPr>
      <w:r w:rsidRPr="000534C2">
        <w:rPr>
          <w:sz w:val="24"/>
          <w:szCs w:val="24"/>
        </w:rPr>
        <w:t xml:space="preserve">If the item is one at which members of the public are allowed to speak, the </w:t>
      </w:r>
      <w:r w:rsidR="00551078" w:rsidRPr="000534C2">
        <w:rPr>
          <w:sz w:val="24"/>
          <w:szCs w:val="24"/>
        </w:rPr>
        <w:t xml:space="preserve">individual </w:t>
      </w:r>
      <w:r w:rsidRPr="000534C2">
        <w:rPr>
          <w:sz w:val="24"/>
          <w:szCs w:val="24"/>
        </w:rPr>
        <w:t xml:space="preserve">may also speak having first declared their interest.  The </w:t>
      </w:r>
      <w:r w:rsidR="00551078" w:rsidRPr="000534C2">
        <w:rPr>
          <w:sz w:val="24"/>
          <w:szCs w:val="24"/>
        </w:rPr>
        <w:t>individual</w:t>
      </w:r>
      <w:r w:rsidRPr="000534C2">
        <w:rPr>
          <w:sz w:val="24"/>
          <w:szCs w:val="24"/>
        </w:rPr>
        <w:t xml:space="preserve"> must not take any further part in th</w:t>
      </w:r>
      <w:r w:rsidR="00551078" w:rsidRPr="000534C2">
        <w:rPr>
          <w:sz w:val="24"/>
          <w:szCs w:val="24"/>
        </w:rPr>
        <w:t>at agenda item including the decision</w:t>
      </w:r>
      <w:r w:rsidR="00F046FF" w:rsidRPr="000534C2">
        <w:rPr>
          <w:sz w:val="24"/>
          <w:szCs w:val="24"/>
        </w:rPr>
        <w:t>-making</w:t>
      </w:r>
      <w:r w:rsidRPr="000534C2">
        <w:rPr>
          <w:sz w:val="24"/>
          <w:szCs w:val="24"/>
        </w:rPr>
        <w:t xml:space="preserve"> process</w:t>
      </w:r>
      <w:r w:rsidR="00F046FF" w:rsidRPr="000534C2">
        <w:rPr>
          <w:sz w:val="24"/>
          <w:szCs w:val="24"/>
        </w:rPr>
        <w:t xml:space="preserve">. </w:t>
      </w:r>
    </w:p>
    <w:p w14:paraId="791F6667" w14:textId="6B1B1C24" w:rsidR="00F046FF" w:rsidRPr="000534C2" w:rsidRDefault="00F046FF" w:rsidP="00551078">
      <w:pPr>
        <w:pStyle w:val="BodyTextGrey"/>
        <w:numPr>
          <w:ilvl w:val="0"/>
          <w:numId w:val="16"/>
        </w:numPr>
        <w:rPr>
          <w:sz w:val="24"/>
          <w:szCs w:val="24"/>
        </w:rPr>
      </w:pPr>
      <w:r w:rsidRPr="000534C2">
        <w:rPr>
          <w:sz w:val="24"/>
          <w:szCs w:val="24"/>
        </w:rPr>
        <w:lastRenderedPageBreak/>
        <w:t>If the</w:t>
      </w:r>
      <w:r w:rsidR="007B2E72" w:rsidRPr="000534C2">
        <w:rPr>
          <w:sz w:val="24"/>
          <w:szCs w:val="24"/>
        </w:rPr>
        <w:t xml:space="preserve"> </w:t>
      </w:r>
      <w:r w:rsidR="000534C2">
        <w:rPr>
          <w:sz w:val="24"/>
          <w:szCs w:val="24"/>
        </w:rPr>
        <w:t>Director of Finance and Assurance</w:t>
      </w:r>
      <w:r w:rsidR="008A3959" w:rsidRPr="000534C2">
        <w:rPr>
          <w:sz w:val="24"/>
          <w:szCs w:val="24"/>
        </w:rPr>
        <w:t>,</w:t>
      </w:r>
      <w:r w:rsidRPr="000534C2">
        <w:rPr>
          <w:sz w:val="24"/>
          <w:szCs w:val="24"/>
        </w:rPr>
        <w:t xml:space="preserve"> having taken advice that they consider appropriate, believes that an individual has a</w:t>
      </w:r>
      <w:r w:rsidR="00551078" w:rsidRPr="000534C2">
        <w:rPr>
          <w:sz w:val="24"/>
          <w:szCs w:val="24"/>
        </w:rPr>
        <w:t xml:space="preserve"> significant or</w:t>
      </w:r>
      <w:r w:rsidRPr="000534C2">
        <w:rPr>
          <w:sz w:val="24"/>
          <w:szCs w:val="24"/>
        </w:rPr>
        <w:t xml:space="preserve"> persistent conflict of interest</w:t>
      </w:r>
      <w:r w:rsidR="00551078" w:rsidRPr="000534C2">
        <w:rPr>
          <w:sz w:val="24"/>
          <w:szCs w:val="24"/>
        </w:rPr>
        <w:t>, such that it is impossible or impractical to manage and undermines their ability to carry out their role, the individual may be removed from their position.</w:t>
      </w:r>
    </w:p>
    <w:p w14:paraId="3CE3628C" w14:textId="7A485D9D" w:rsidR="003C1A19" w:rsidRDefault="003C1A19" w:rsidP="003C1A19">
      <w:pPr>
        <w:pStyle w:val="BodyTextGrey"/>
      </w:pPr>
    </w:p>
    <w:p w14:paraId="453C382F" w14:textId="77777777" w:rsidR="003C1A19" w:rsidRPr="003C1A19" w:rsidRDefault="003C1A19" w:rsidP="003C1A19">
      <w:pPr>
        <w:pStyle w:val="BodyTextGrey"/>
      </w:pPr>
    </w:p>
    <w:sectPr w:rsidR="003C1A19" w:rsidRPr="003C1A1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078A" w14:textId="77777777" w:rsidR="006B731D" w:rsidRDefault="006B731D" w:rsidP="000B48C8">
      <w:pPr>
        <w:spacing w:before="0" w:after="0"/>
      </w:pPr>
      <w:r>
        <w:separator/>
      </w:r>
    </w:p>
  </w:endnote>
  <w:endnote w:type="continuationSeparator" w:id="0">
    <w:p w14:paraId="5990232A" w14:textId="77777777" w:rsidR="006B731D" w:rsidRDefault="006B731D" w:rsidP="000B48C8">
      <w:pPr>
        <w:spacing w:before="0" w:after="0"/>
      </w:pPr>
      <w:r>
        <w:continuationSeparator/>
      </w:r>
    </w:p>
  </w:endnote>
  <w:endnote w:type="continuationNotice" w:id="1">
    <w:p w14:paraId="23264A01" w14:textId="77777777" w:rsidR="006B731D" w:rsidRDefault="006B73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6947" w14:textId="77777777" w:rsidR="009F16D2" w:rsidRDefault="009F16D2">
    <w:pPr>
      <w:pStyle w:val="Footer"/>
      <w:tabs>
        <w:tab w:val="left" w:pos="8862"/>
      </w:tabs>
      <w:rPr>
        <w:sz w:val="2"/>
      </w:rPr>
    </w:pPr>
    <w:r>
      <w:rPr>
        <w:sz w:val="2"/>
      </w:rPr>
      <w:tab/>
    </w:r>
    <w:r>
      <w:rPr>
        <w:sz w:val="2"/>
      </w:rPr>
      <w:tab/>
    </w:r>
  </w:p>
  <w:p w14:paraId="7A3579CB" w14:textId="77777777" w:rsidR="009F16D2" w:rsidRDefault="009F16D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571028"/>
      <w:docPartObj>
        <w:docPartGallery w:val="Page Numbers (Bottom of Page)"/>
        <w:docPartUnique/>
      </w:docPartObj>
    </w:sdtPr>
    <w:sdtEndPr>
      <w:rPr>
        <w:noProof/>
      </w:rPr>
    </w:sdtEndPr>
    <w:sdtContent>
      <w:p w14:paraId="60A21FF8" w14:textId="1C9BB23C" w:rsidR="003D3AF2" w:rsidRDefault="003D3AF2" w:rsidP="003D3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4A1CF" w14:textId="77777777" w:rsidR="009F16D2" w:rsidRDefault="009F1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34070"/>
      <w:docPartObj>
        <w:docPartGallery w:val="Page Numbers (Bottom of Page)"/>
        <w:docPartUnique/>
      </w:docPartObj>
    </w:sdtPr>
    <w:sdtEndPr>
      <w:rPr>
        <w:noProof/>
      </w:rPr>
    </w:sdtEndPr>
    <w:sdtContent>
      <w:p w14:paraId="37D54C46" w14:textId="6941FB94" w:rsidR="00F5418A" w:rsidRDefault="00F54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22D77" w14:textId="77777777" w:rsidR="00F5418A" w:rsidRDefault="00F5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6846" w14:textId="77777777" w:rsidR="006B731D" w:rsidRDefault="006B731D" w:rsidP="000B48C8">
      <w:pPr>
        <w:spacing w:before="0" w:after="0"/>
      </w:pPr>
      <w:r>
        <w:separator/>
      </w:r>
    </w:p>
  </w:footnote>
  <w:footnote w:type="continuationSeparator" w:id="0">
    <w:p w14:paraId="1D2FFD00" w14:textId="77777777" w:rsidR="006B731D" w:rsidRDefault="006B731D" w:rsidP="000B48C8">
      <w:pPr>
        <w:spacing w:before="0" w:after="0"/>
      </w:pPr>
      <w:r>
        <w:continuationSeparator/>
      </w:r>
    </w:p>
  </w:footnote>
  <w:footnote w:type="continuationNotice" w:id="1">
    <w:p w14:paraId="6E65933D" w14:textId="77777777" w:rsidR="006B731D" w:rsidRDefault="006B731D">
      <w:pPr>
        <w:spacing w:before="0" w:after="0"/>
      </w:pPr>
    </w:p>
  </w:footnote>
  <w:footnote w:id="2">
    <w:p w14:paraId="1326C654" w14:textId="783F2273" w:rsidR="000B48C8" w:rsidRDefault="000B48C8">
      <w:pPr>
        <w:pStyle w:val="FootnoteText"/>
      </w:pPr>
      <w:r>
        <w:rPr>
          <w:rStyle w:val="FootnoteReference"/>
        </w:rPr>
        <w:footnoteRef/>
      </w:r>
      <w:r>
        <w:t xml:space="preserve"> Section 5(5) </w:t>
      </w:r>
    </w:p>
  </w:footnote>
  <w:footnote w:id="3">
    <w:p w14:paraId="107605CE" w14:textId="0F378A4A" w:rsidR="00746DB2" w:rsidRDefault="00746DB2">
      <w:pPr>
        <w:pStyle w:val="FootnoteText"/>
      </w:pPr>
      <w:r>
        <w:rPr>
          <w:rStyle w:val="FootnoteReference"/>
        </w:rPr>
        <w:footnoteRef/>
      </w:r>
      <w:r>
        <w:t xml:space="preserve"> Chapter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1A34" w14:textId="5EC11DEE" w:rsidR="009F16D2" w:rsidRPr="003D3AF2" w:rsidRDefault="003D3AF2" w:rsidP="003D3AF2">
    <w:pPr>
      <w:pStyle w:val="Header"/>
      <w:jc w:val="right"/>
      <w:rPr>
        <w:rFonts w:ascii="Arial" w:hAnsi="Arial" w:cs="Arial"/>
        <w:b/>
        <w:bCs/>
        <w:sz w:val="28"/>
        <w:szCs w:val="28"/>
        <w:u w:val="single"/>
      </w:rPr>
    </w:pPr>
    <w:r w:rsidRPr="003D3AF2">
      <w:rPr>
        <w:rFonts w:ascii="Arial" w:hAnsi="Arial" w:cs="Arial"/>
        <w:b/>
        <w:bCs/>
        <w:sz w:val="28"/>
        <w:szCs w:val="28"/>
        <w:u w:val="single"/>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5B8"/>
    <w:multiLevelType w:val="multilevel"/>
    <w:tmpl w:val="169CDCE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13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370CB"/>
    <w:multiLevelType w:val="hybridMultilevel"/>
    <w:tmpl w:val="C5144C8A"/>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06275A"/>
    <w:multiLevelType w:val="hybridMultilevel"/>
    <w:tmpl w:val="4A46F2A2"/>
    <w:lvl w:ilvl="0" w:tplc="B2AE44BC">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3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12B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A78D4"/>
    <w:multiLevelType w:val="multilevel"/>
    <w:tmpl w:val="4036DC5E"/>
    <w:lvl w:ilvl="0">
      <w:start w:val="1"/>
      <w:numFmt w:val="decimal"/>
      <w:pStyle w:val="NumberHymans"/>
      <w:lvlText w:val="%1"/>
      <w:lvlJc w:val="left"/>
      <w:pPr>
        <w:ind w:left="1134" w:hanging="567"/>
      </w:pPr>
      <w:rPr>
        <w:rFonts w:ascii="Arial" w:hAnsi="Arial" w:hint="default"/>
        <w:color w:val="4B4B4B"/>
        <w:sz w:val="20"/>
      </w:rPr>
    </w:lvl>
    <w:lvl w:ilvl="1">
      <w:start w:val="1"/>
      <w:numFmt w:val="decimal"/>
      <w:lvlText w:val="%1.%2"/>
      <w:lvlJc w:val="left"/>
      <w:pPr>
        <w:ind w:left="1701" w:hanging="567"/>
      </w:pPr>
      <w:rPr>
        <w:rFonts w:ascii="Arial" w:hAnsi="Arial" w:hint="default"/>
        <w:color w:val="4B4B4B"/>
        <w:sz w:val="20"/>
      </w:rPr>
    </w:lvl>
    <w:lvl w:ilvl="2">
      <w:start w:val="1"/>
      <w:numFmt w:val="decimal"/>
      <w:lvlText w:val="%1.%2.%3"/>
      <w:lvlJc w:val="left"/>
      <w:pPr>
        <w:ind w:left="2268" w:hanging="567"/>
      </w:pPr>
      <w:rPr>
        <w:rFonts w:ascii="Arial" w:hAnsi="Arial" w:hint="default"/>
        <w:color w:val="4B4B4B"/>
        <w:sz w:val="20"/>
      </w:rPr>
    </w:lvl>
    <w:lvl w:ilvl="3">
      <w:start w:val="1"/>
      <w:numFmt w:val="decimal"/>
      <w:lvlText w:val="%1.%2.%3.%4"/>
      <w:lvlJc w:val="left"/>
      <w:pPr>
        <w:ind w:left="2295" w:hanging="648"/>
      </w:pPr>
      <w:rPr>
        <w:rFonts w:ascii="Arial" w:hAnsi="Arial" w:hint="default"/>
        <w:color w:val="auto"/>
        <w:sz w:val="20"/>
      </w:rPr>
    </w:lvl>
    <w:lvl w:ilvl="4">
      <w:start w:val="1"/>
      <w:numFmt w:val="decimal"/>
      <w:lvlText w:val="%1.%2.%3.%4.%5"/>
      <w:lvlJc w:val="left"/>
      <w:pPr>
        <w:ind w:left="2799" w:hanging="792"/>
      </w:pPr>
      <w:rPr>
        <w:rFonts w:ascii="Arial" w:hAnsi="Arial" w:hint="default"/>
        <w:color w:val="auto"/>
        <w:sz w:val="20"/>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277861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20AB7"/>
    <w:multiLevelType w:val="multilevel"/>
    <w:tmpl w:val="A4F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B27D0"/>
    <w:multiLevelType w:val="hybridMultilevel"/>
    <w:tmpl w:val="00D07096"/>
    <w:lvl w:ilvl="0" w:tplc="B2AE44BC">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41E6"/>
    <w:multiLevelType w:val="multilevel"/>
    <w:tmpl w:val="0809001F"/>
    <w:lvl w:ilvl="0">
      <w:start w:val="1"/>
      <w:numFmt w:val="decimal"/>
      <w:lvlText w:val="%1."/>
      <w:lvlJc w:val="left"/>
      <w:pPr>
        <w:ind w:left="360" w:hanging="360"/>
      </w:pPr>
      <w:rPr>
        <w:rFonts w:hint="default"/>
        <w:color w:val="4B4B4B"/>
        <w:sz w:val="20"/>
      </w:rPr>
    </w:lvl>
    <w:lvl w:ilvl="1">
      <w:start w:val="1"/>
      <w:numFmt w:val="decimal"/>
      <w:lvlText w:val="%1.%2."/>
      <w:lvlJc w:val="left"/>
      <w:pPr>
        <w:ind w:left="792" w:hanging="432"/>
      </w:pPr>
      <w:rPr>
        <w:rFonts w:hint="default"/>
        <w:color w:val="4B4B4B"/>
        <w:sz w:val="20"/>
      </w:rPr>
    </w:lvl>
    <w:lvl w:ilvl="2">
      <w:start w:val="1"/>
      <w:numFmt w:val="decimal"/>
      <w:lvlText w:val="%1.%2.%3."/>
      <w:lvlJc w:val="left"/>
      <w:pPr>
        <w:ind w:left="1224" w:hanging="504"/>
      </w:pPr>
      <w:rPr>
        <w:rFonts w:hint="default"/>
        <w:color w:val="4B4B4B"/>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281B3E"/>
    <w:multiLevelType w:val="multilevel"/>
    <w:tmpl w:val="877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4336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C11DC8"/>
    <w:multiLevelType w:val="hybridMultilevel"/>
    <w:tmpl w:val="4C4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076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D5D5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C1F09"/>
    <w:multiLevelType w:val="hybridMultilevel"/>
    <w:tmpl w:val="89B2E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234349"/>
    <w:multiLevelType w:val="multilevel"/>
    <w:tmpl w:val="F4AE5B3A"/>
    <w:lvl w:ilvl="0">
      <w:start w:val="1"/>
      <w:numFmt w:val="decimal"/>
      <w:lvlRestart w:val="0"/>
      <w:isLg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21B4FC1"/>
    <w:multiLevelType w:val="multilevel"/>
    <w:tmpl w:val="B2E691B0"/>
    <w:lvl w:ilvl="0">
      <w:start w:val="1"/>
      <w:numFmt w:val="decimal"/>
      <w:lvlRestart w:val="0"/>
      <w:isLg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B1C2915"/>
    <w:multiLevelType w:val="hybridMultilevel"/>
    <w:tmpl w:val="8DBE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81A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E42B34"/>
    <w:multiLevelType w:val="hybridMultilevel"/>
    <w:tmpl w:val="34E4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240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470F05"/>
    <w:multiLevelType w:val="hybridMultilevel"/>
    <w:tmpl w:val="6B622B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BF84AED"/>
    <w:multiLevelType w:val="hybridMultilevel"/>
    <w:tmpl w:val="F92A5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06795"/>
    <w:multiLevelType w:val="hybridMultilevel"/>
    <w:tmpl w:val="0018D7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41510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05158B"/>
    <w:multiLevelType w:val="hybridMultilevel"/>
    <w:tmpl w:val="7A64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0"/>
  </w:num>
  <w:num w:numId="5">
    <w:abstractNumId w:val="6"/>
  </w:num>
  <w:num w:numId="6">
    <w:abstractNumId w:val="0"/>
  </w:num>
  <w:num w:numId="7">
    <w:abstractNumId w:val="0"/>
  </w:num>
  <w:num w:numId="8">
    <w:abstractNumId w:val="0"/>
  </w:num>
  <w:num w:numId="9">
    <w:abstractNumId w:val="10"/>
  </w:num>
  <w:num w:numId="10">
    <w:abstractNumId w:val="6"/>
  </w:num>
  <w:num w:numId="11">
    <w:abstractNumId w:val="12"/>
  </w:num>
  <w:num w:numId="12">
    <w:abstractNumId w:val="27"/>
  </w:num>
  <w:num w:numId="13">
    <w:abstractNumId w:val="21"/>
  </w:num>
  <w:num w:numId="14">
    <w:abstractNumId w:val="16"/>
  </w:num>
  <w:num w:numId="15">
    <w:abstractNumId w:val="19"/>
  </w:num>
  <w:num w:numId="16">
    <w:abstractNumId w:val="24"/>
  </w:num>
  <w:num w:numId="17">
    <w:abstractNumId w:val="13"/>
  </w:num>
  <w:num w:numId="18">
    <w:abstractNumId w:val="23"/>
  </w:num>
  <w:num w:numId="19">
    <w:abstractNumId w:val="3"/>
  </w:num>
  <w:num w:numId="20">
    <w:abstractNumId w:val="8"/>
  </w:num>
  <w:num w:numId="21">
    <w:abstractNumId w:val="11"/>
  </w:num>
  <w:num w:numId="22">
    <w:abstractNumId w:val="10"/>
  </w:num>
  <w:num w:numId="23">
    <w:abstractNumId w:val="10"/>
  </w:num>
  <w:num w:numId="24">
    <w:abstractNumId w:val="4"/>
  </w:num>
  <w:num w:numId="25">
    <w:abstractNumId w:val="26"/>
  </w:num>
  <w:num w:numId="26">
    <w:abstractNumId w:val="1"/>
  </w:num>
  <w:num w:numId="27">
    <w:abstractNumId w:val="7"/>
  </w:num>
  <w:num w:numId="28">
    <w:abstractNumId w:val="14"/>
  </w:num>
  <w:num w:numId="29">
    <w:abstractNumId w:val="15"/>
  </w:num>
  <w:num w:numId="30">
    <w:abstractNumId w:val="5"/>
  </w:num>
  <w:num w:numId="31">
    <w:abstractNumId w:val="22"/>
  </w:num>
  <w:num w:numId="32">
    <w:abstractNumId w:val="18"/>
  </w:num>
  <w:num w:numId="33">
    <w:abstractNumId w:val="20"/>
  </w:num>
  <w:num w:numId="34">
    <w:abstractNumId w:val="17"/>
  </w:num>
  <w:num w:numId="35">
    <w:abstractNumId w:val="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47"/>
    <w:rsid w:val="00013329"/>
    <w:rsid w:val="00013F9F"/>
    <w:rsid w:val="00024DA2"/>
    <w:rsid w:val="00031D54"/>
    <w:rsid w:val="000534C2"/>
    <w:rsid w:val="00060967"/>
    <w:rsid w:val="000B3BCA"/>
    <w:rsid w:val="000B48C8"/>
    <w:rsid w:val="000B77D6"/>
    <w:rsid w:val="000C1F12"/>
    <w:rsid w:val="000D4E18"/>
    <w:rsid w:val="000E7799"/>
    <w:rsid w:val="001009E1"/>
    <w:rsid w:val="00102262"/>
    <w:rsid w:val="00111B82"/>
    <w:rsid w:val="00125EC5"/>
    <w:rsid w:val="00135CA9"/>
    <w:rsid w:val="00143440"/>
    <w:rsid w:val="00152CAC"/>
    <w:rsid w:val="001579E1"/>
    <w:rsid w:val="0016395E"/>
    <w:rsid w:val="00186266"/>
    <w:rsid w:val="001A0143"/>
    <w:rsid w:val="001C10A4"/>
    <w:rsid w:val="0021370F"/>
    <w:rsid w:val="0022034A"/>
    <w:rsid w:val="00221BB4"/>
    <w:rsid w:val="00224B00"/>
    <w:rsid w:val="00243607"/>
    <w:rsid w:val="00265B9E"/>
    <w:rsid w:val="00293175"/>
    <w:rsid w:val="00294668"/>
    <w:rsid w:val="002B0E39"/>
    <w:rsid w:val="002C539C"/>
    <w:rsid w:val="002E6DB3"/>
    <w:rsid w:val="00324B96"/>
    <w:rsid w:val="00324DF3"/>
    <w:rsid w:val="003320FD"/>
    <w:rsid w:val="00334E8C"/>
    <w:rsid w:val="00335045"/>
    <w:rsid w:val="00336767"/>
    <w:rsid w:val="0036412E"/>
    <w:rsid w:val="00375145"/>
    <w:rsid w:val="003855B0"/>
    <w:rsid w:val="00394608"/>
    <w:rsid w:val="003C1A19"/>
    <w:rsid w:val="003D3AF2"/>
    <w:rsid w:val="003D59B2"/>
    <w:rsid w:val="003D715A"/>
    <w:rsid w:val="004166A3"/>
    <w:rsid w:val="004300C0"/>
    <w:rsid w:val="00437165"/>
    <w:rsid w:val="00463B4E"/>
    <w:rsid w:val="004737DE"/>
    <w:rsid w:val="00497A0B"/>
    <w:rsid w:val="004A5B6D"/>
    <w:rsid w:val="004B3AB7"/>
    <w:rsid w:val="004D1BB7"/>
    <w:rsid w:val="004E4152"/>
    <w:rsid w:val="00526EF3"/>
    <w:rsid w:val="005272B6"/>
    <w:rsid w:val="00544E25"/>
    <w:rsid w:val="00551078"/>
    <w:rsid w:val="00551107"/>
    <w:rsid w:val="00551D55"/>
    <w:rsid w:val="0055725E"/>
    <w:rsid w:val="00565EA9"/>
    <w:rsid w:val="00576FA5"/>
    <w:rsid w:val="0058228F"/>
    <w:rsid w:val="0059632C"/>
    <w:rsid w:val="005D0D56"/>
    <w:rsid w:val="005E0FEE"/>
    <w:rsid w:val="005E340B"/>
    <w:rsid w:val="0062213B"/>
    <w:rsid w:val="006243E4"/>
    <w:rsid w:val="006346D7"/>
    <w:rsid w:val="00635332"/>
    <w:rsid w:val="0064756A"/>
    <w:rsid w:val="006577BC"/>
    <w:rsid w:val="00661AA7"/>
    <w:rsid w:val="0069170D"/>
    <w:rsid w:val="00694347"/>
    <w:rsid w:val="006A4A25"/>
    <w:rsid w:val="006B731D"/>
    <w:rsid w:val="006B7E06"/>
    <w:rsid w:val="006D2087"/>
    <w:rsid w:val="006D5A40"/>
    <w:rsid w:val="006E1B49"/>
    <w:rsid w:val="00704D59"/>
    <w:rsid w:val="00731761"/>
    <w:rsid w:val="00735553"/>
    <w:rsid w:val="00746DB2"/>
    <w:rsid w:val="00761344"/>
    <w:rsid w:val="007833F5"/>
    <w:rsid w:val="0078480E"/>
    <w:rsid w:val="00792E4B"/>
    <w:rsid w:val="007A142D"/>
    <w:rsid w:val="007B2E72"/>
    <w:rsid w:val="008066C6"/>
    <w:rsid w:val="0085098A"/>
    <w:rsid w:val="00851DEE"/>
    <w:rsid w:val="00857221"/>
    <w:rsid w:val="00883A10"/>
    <w:rsid w:val="008A3959"/>
    <w:rsid w:val="008D6881"/>
    <w:rsid w:val="008E61B5"/>
    <w:rsid w:val="008F0A52"/>
    <w:rsid w:val="008F3BB7"/>
    <w:rsid w:val="009054F0"/>
    <w:rsid w:val="0091161F"/>
    <w:rsid w:val="009312F9"/>
    <w:rsid w:val="00950C4A"/>
    <w:rsid w:val="0095704E"/>
    <w:rsid w:val="00966830"/>
    <w:rsid w:val="00976A27"/>
    <w:rsid w:val="00985F6E"/>
    <w:rsid w:val="009C1499"/>
    <w:rsid w:val="009C3E15"/>
    <w:rsid w:val="009C56D2"/>
    <w:rsid w:val="009F16D2"/>
    <w:rsid w:val="009F26C4"/>
    <w:rsid w:val="009F4DA3"/>
    <w:rsid w:val="00A22EB5"/>
    <w:rsid w:val="00A33A4C"/>
    <w:rsid w:val="00A564A9"/>
    <w:rsid w:val="00A75ED6"/>
    <w:rsid w:val="00A81E3B"/>
    <w:rsid w:val="00A83165"/>
    <w:rsid w:val="00A84ED7"/>
    <w:rsid w:val="00AE11AE"/>
    <w:rsid w:val="00AF5DDE"/>
    <w:rsid w:val="00B36977"/>
    <w:rsid w:val="00B42A0B"/>
    <w:rsid w:val="00B471F1"/>
    <w:rsid w:val="00B533B3"/>
    <w:rsid w:val="00B83A25"/>
    <w:rsid w:val="00B95377"/>
    <w:rsid w:val="00BC3CCF"/>
    <w:rsid w:val="00BD5484"/>
    <w:rsid w:val="00BF1716"/>
    <w:rsid w:val="00C02DE1"/>
    <w:rsid w:val="00C06686"/>
    <w:rsid w:val="00C42B31"/>
    <w:rsid w:val="00C603E5"/>
    <w:rsid w:val="00C70341"/>
    <w:rsid w:val="00C74302"/>
    <w:rsid w:val="00C95C7D"/>
    <w:rsid w:val="00C960D9"/>
    <w:rsid w:val="00CC2096"/>
    <w:rsid w:val="00CC365A"/>
    <w:rsid w:val="00CC3B33"/>
    <w:rsid w:val="00CD4B9E"/>
    <w:rsid w:val="00CE02A3"/>
    <w:rsid w:val="00CF4547"/>
    <w:rsid w:val="00D35A66"/>
    <w:rsid w:val="00D43D76"/>
    <w:rsid w:val="00D4788A"/>
    <w:rsid w:val="00D80345"/>
    <w:rsid w:val="00D8596F"/>
    <w:rsid w:val="00D85ADD"/>
    <w:rsid w:val="00DB2CFA"/>
    <w:rsid w:val="00DD4BEA"/>
    <w:rsid w:val="00E106A8"/>
    <w:rsid w:val="00E149BD"/>
    <w:rsid w:val="00E21D14"/>
    <w:rsid w:val="00E427E3"/>
    <w:rsid w:val="00E46D97"/>
    <w:rsid w:val="00E4758E"/>
    <w:rsid w:val="00E77D29"/>
    <w:rsid w:val="00E87061"/>
    <w:rsid w:val="00EA3EE8"/>
    <w:rsid w:val="00EB479E"/>
    <w:rsid w:val="00EF050F"/>
    <w:rsid w:val="00F046FF"/>
    <w:rsid w:val="00F1037B"/>
    <w:rsid w:val="00F11A02"/>
    <w:rsid w:val="00F30154"/>
    <w:rsid w:val="00F37E86"/>
    <w:rsid w:val="00F5418A"/>
    <w:rsid w:val="00F92FD7"/>
    <w:rsid w:val="00FB2B5E"/>
    <w:rsid w:val="00FD31A7"/>
    <w:rsid w:val="00FE3DFF"/>
    <w:rsid w:val="00FF3294"/>
    <w:rsid w:val="00FF5C84"/>
    <w:rsid w:val="505F8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97E"/>
  <w15:chartTrackingRefBased/>
  <w15:docId w15:val="{ABAA26B9-3FA6-4808-BB5D-764294A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before="20" w:after="2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next w:val="BodyTextGrey"/>
    <w:link w:val="Heading1Char"/>
    <w:qFormat/>
    <w:rsid w:val="00694347"/>
    <w:pPr>
      <w:keepNext/>
      <w:keepLines/>
      <w:numPr>
        <w:numId w:val="28"/>
      </w:numPr>
      <w:spacing w:before="140" w:after="140" w:line="360" w:lineRule="atLeast"/>
      <w:outlineLvl w:val="0"/>
    </w:pPr>
    <w:rPr>
      <w:rFonts w:ascii="Arial" w:eastAsiaTheme="majorEastAsia" w:hAnsi="Arial" w:cstheme="majorBidi"/>
      <w:color w:val="3FA6CC"/>
      <w:kern w:val="28"/>
      <w:sz w:val="36"/>
    </w:rPr>
  </w:style>
  <w:style w:type="paragraph" w:styleId="Heading2">
    <w:name w:val="heading 2"/>
    <w:next w:val="BodyTextGrey"/>
    <w:link w:val="Heading2Char"/>
    <w:qFormat/>
    <w:rsid w:val="00694347"/>
    <w:pPr>
      <w:keepNext/>
      <w:keepLines/>
      <w:numPr>
        <w:ilvl w:val="1"/>
        <w:numId w:val="28"/>
      </w:numPr>
      <w:spacing w:before="0" w:after="0" w:line="280" w:lineRule="atLeast"/>
      <w:outlineLvl w:val="1"/>
    </w:pPr>
    <w:rPr>
      <w:rFonts w:ascii="Arial" w:eastAsiaTheme="majorEastAsia" w:hAnsi="Arial" w:cs="Arial"/>
      <w:b/>
      <w:iCs/>
      <w:color w:val="6EC040" w:themeColor="text2"/>
    </w:rPr>
  </w:style>
  <w:style w:type="paragraph" w:styleId="Heading3">
    <w:name w:val="heading 3"/>
    <w:next w:val="BodyTextGrey"/>
    <w:link w:val="Heading3Char"/>
    <w:qFormat/>
    <w:rsid w:val="00694347"/>
    <w:pPr>
      <w:keepNext/>
      <w:keepLines/>
      <w:numPr>
        <w:ilvl w:val="2"/>
        <w:numId w:val="28"/>
      </w:numPr>
      <w:spacing w:line="280" w:lineRule="atLeast"/>
      <w:outlineLvl w:val="2"/>
    </w:pPr>
    <w:rPr>
      <w:rFonts w:ascii="Arial" w:eastAsiaTheme="majorEastAsia" w:hAnsi="Arial" w:cs="Arial"/>
      <w:b/>
      <w:iCs/>
      <w:color w:val="3FA6CC" w:themeColor="text1"/>
    </w:rPr>
  </w:style>
  <w:style w:type="paragraph" w:styleId="Heading4">
    <w:name w:val="heading 4"/>
    <w:next w:val="BodyTextGrey"/>
    <w:link w:val="Heading4Char"/>
    <w:qFormat/>
    <w:rsid w:val="00694347"/>
    <w:pPr>
      <w:numPr>
        <w:ilvl w:val="3"/>
        <w:numId w:val="28"/>
      </w:numPr>
      <w:tabs>
        <w:tab w:val="num" w:pos="0"/>
      </w:tabs>
      <w:spacing w:line="280" w:lineRule="atLeast"/>
      <w:outlineLvl w:val="3"/>
    </w:pPr>
    <w:rPr>
      <w:rFonts w:ascii="Arial" w:hAnsi="Arial" w:cs="Arial"/>
      <w:b/>
      <w:iCs/>
      <w:color w:val="455560"/>
    </w:rPr>
  </w:style>
  <w:style w:type="paragraph" w:styleId="Heading5">
    <w:name w:val="heading 5"/>
    <w:basedOn w:val="Normal"/>
    <w:next w:val="Normal"/>
    <w:link w:val="Heading5Char"/>
    <w:uiPriority w:val="9"/>
    <w:semiHidden/>
    <w:unhideWhenUsed/>
    <w:rsid w:val="005D0D56"/>
    <w:pPr>
      <w:keepNext/>
      <w:keepLines/>
      <w:numPr>
        <w:ilvl w:val="4"/>
        <w:numId w:val="28"/>
      </w:numPr>
      <w:spacing w:before="40" w:after="0"/>
      <w:outlineLvl w:val="4"/>
    </w:pPr>
    <w:rPr>
      <w:rFonts w:asciiTheme="majorHAnsi" w:eastAsiaTheme="majorEastAsia" w:hAnsiTheme="majorHAnsi" w:cstheme="majorBidi"/>
      <w:color w:val="B34E00" w:themeColor="accent1" w:themeShade="BF"/>
    </w:rPr>
  </w:style>
  <w:style w:type="paragraph" w:styleId="Heading6">
    <w:name w:val="heading 6"/>
    <w:basedOn w:val="Normal"/>
    <w:next w:val="Normal"/>
    <w:link w:val="Heading6Char"/>
    <w:uiPriority w:val="9"/>
    <w:semiHidden/>
    <w:unhideWhenUsed/>
    <w:rsid w:val="005D0D56"/>
    <w:pPr>
      <w:keepNext/>
      <w:keepLines/>
      <w:numPr>
        <w:ilvl w:val="5"/>
        <w:numId w:val="28"/>
      </w:numPr>
      <w:spacing w:before="40" w:after="0"/>
      <w:outlineLvl w:val="5"/>
    </w:pPr>
    <w:rPr>
      <w:rFonts w:asciiTheme="majorHAnsi" w:eastAsiaTheme="majorEastAsia" w:hAnsiTheme="majorHAnsi" w:cstheme="majorBidi"/>
      <w:color w:val="773400" w:themeColor="accent1" w:themeShade="7F"/>
    </w:rPr>
  </w:style>
  <w:style w:type="paragraph" w:styleId="Heading7">
    <w:name w:val="heading 7"/>
    <w:basedOn w:val="Normal"/>
    <w:next w:val="Normal"/>
    <w:link w:val="Heading7Char"/>
    <w:uiPriority w:val="9"/>
    <w:semiHidden/>
    <w:unhideWhenUsed/>
    <w:rsid w:val="005D0D56"/>
    <w:pPr>
      <w:keepNext/>
      <w:keepLines/>
      <w:numPr>
        <w:ilvl w:val="6"/>
        <w:numId w:val="28"/>
      </w:numPr>
      <w:spacing w:before="40" w:after="0"/>
      <w:outlineLvl w:val="6"/>
    </w:pPr>
    <w:rPr>
      <w:rFonts w:asciiTheme="majorHAnsi" w:eastAsiaTheme="majorEastAsia" w:hAnsiTheme="majorHAnsi" w:cstheme="majorBidi"/>
      <w:i/>
      <w:iCs/>
      <w:color w:val="773400" w:themeColor="accent1" w:themeShade="7F"/>
    </w:rPr>
  </w:style>
  <w:style w:type="paragraph" w:styleId="Heading8">
    <w:name w:val="heading 8"/>
    <w:basedOn w:val="Normal"/>
    <w:next w:val="Normal"/>
    <w:link w:val="Heading8Char"/>
    <w:uiPriority w:val="9"/>
    <w:semiHidden/>
    <w:unhideWhenUsed/>
    <w:rsid w:val="005D0D56"/>
    <w:pPr>
      <w:keepNext/>
      <w:keepLines/>
      <w:numPr>
        <w:ilvl w:val="7"/>
        <w:numId w:val="28"/>
      </w:numPr>
      <w:spacing w:before="40" w:after="0"/>
      <w:outlineLvl w:val="7"/>
    </w:pPr>
    <w:rPr>
      <w:rFonts w:asciiTheme="majorHAnsi" w:eastAsiaTheme="majorEastAsia" w:hAnsiTheme="majorHAnsi" w:cstheme="majorBidi"/>
      <w:color w:val="5CB3D3" w:themeColor="text1" w:themeTint="D8"/>
      <w:sz w:val="21"/>
      <w:szCs w:val="21"/>
    </w:rPr>
  </w:style>
  <w:style w:type="paragraph" w:styleId="Heading9">
    <w:name w:val="heading 9"/>
    <w:basedOn w:val="Normal"/>
    <w:next w:val="Normal"/>
    <w:link w:val="Heading9Char"/>
    <w:uiPriority w:val="9"/>
    <w:semiHidden/>
    <w:unhideWhenUsed/>
    <w:rsid w:val="005D0D56"/>
    <w:pPr>
      <w:keepNext/>
      <w:keepLines/>
      <w:numPr>
        <w:ilvl w:val="8"/>
        <w:numId w:val="28"/>
      </w:numPr>
      <w:spacing w:before="40" w:after="0"/>
      <w:outlineLvl w:val="8"/>
    </w:pPr>
    <w:rPr>
      <w:rFonts w:asciiTheme="majorHAnsi" w:eastAsiaTheme="majorEastAsia" w:hAnsiTheme="majorHAnsi" w:cstheme="majorBidi"/>
      <w:i/>
      <w:iCs/>
      <w:color w:val="5CB3D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6943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347"/>
    <w:rPr>
      <w:rFonts w:asciiTheme="majorHAnsi" w:eastAsiaTheme="majorEastAsia" w:hAnsiTheme="majorHAnsi" w:cstheme="majorBidi"/>
      <w:spacing w:val="-10"/>
      <w:kern w:val="28"/>
      <w:sz w:val="56"/>
      <w:szCs w:val="56"/>
    </w:rPr>
  </w:style>
  <w:style w:type="paragraph" w:customStyle="1" w:styleId="Green">
    <w:name w:val="Green"/>
    <w:basedOn w:val="BodyText"/>
    <w:next w:val="BodyTextGrey"/>
    <w:uiPriority w:val="2"/>
    <w:qFormat/>
    <w:rsid w:val="00694347"/>
    <w:pPr>
      <w:spacing w:after="200" w:line="280" w:lineRule="atLeast"/>
    </w:pPr>
    <w:rPr>
      <w:rFonts w:ascii="Arial" w:hAnsi="Arial" w:cs="Arial"/>
      <w:iCs/>
      <w:color w:val="6EC040" w:themeColor="text2"/>
    </w:rPr>
  </w:style>
  <w:style w:type="paragraph" w:styleId="BodyText">
    <w:name w:val="Body Text"/>
    <w:basedOn w:val="Normal"/>
    <w:link w:val="BodyTextChar"/>
    <w:uiPriority w:val="99"/>
    <w:semiHidden/>
    <w:unhideWhenUsed/>
    <w:rsid w:val="00694347"/>
    <w:pPr>
      <w:spacing w:after="120"/>
    </w:pPr>
  </w:style>
  <w:style w:type="character" w:customStyle="1" w:styleId="BodyTextChar">
    <w:name w:val="Body Text Char"/>
    <w:basedOn w:val="DefaultParagraphFont"/>
    <w:link w:val="BodyText"/>
    <w:uiPriority w:val="99"/>
    <w:semiHidden/>
    <w:rsid w:val="00694347"/>
  </w:style>
  <w:style w:type="paragraph" w:customStyle="1" w:styleId="Heading1Num">
    <w:name w:val="Heading 1 Num"/>
    <w:basedOn w:val="Heading1"/>
    <w:next w:val="BodyTextGrey"/>
    <w:uiPriority w:val="1"/>
    <w:qFormat/>
    <w:rsid w:val="00694347"/>
    <w:pPr>
      <w:numPr>
        <w:numId w:val="8"/>
      </w:numPr>
    </w:pPr>
    <w:rPr>
      <w:rFonts w:eastAsia="Times New Roman" w:cs="Times New Roman"/>
    </w:rPr>
  </w:style>
  <w:style w:type="character" w:customStyle="1" w:styleId="Heading1Char">
    <w:name w:val="Heading 1 Char"/>
    <w:basedOn w:val="DefaultParagraphFont"/>
    <w:link w:val="Heading1"/>
    <w:rsid w:val="00694347"/>
    <w:rPr>
      <w:rFonts w:ascii="Arial" w:eastAsiaTheme="majorEastAsia" w:hAnsi="Arial" w:cstheme="majorBidi"/>
      <w:color w:val="3FA6CC"/>
      <w:kern w:val="28"/>
      <w:sz w:val="36"/>
    </w:rPr>
  </w:style>
  <w:style w:type="paragraph" w:customStyle="1" w:styleId="Heading2Num">
    <w:name w:val="Heading 2 Num"/>
    <w:basedOn w:val="Heading2"/>
    <w:next w:val="BodyTextGrey"/>
    <w:uiPriority w:val="1"/>
    <w:qFormat/>
    <w:rsid w:val="00694347"/>
    <w:pPr>
      <w:numPr>
        <w:numId w:val="8"/>
      </w:numPr>
    </w:pPr>
    <w:rPr>
      <w:rFonts w:eastAsia="Times New Roman"/>
    </w:rPr>
  </w:style>
  <w:style w:type="character" w:customStyle="1" w:styleId="Heading2Char">
    <w:name w:val="Heading 2 Char"/>
    <w:basedOn w:val="DefaultParagraphFont"/>
    <w:link w:val="Heading2"/>
    <w:rsid w:val="00694347"/>
    <w:rPr>
      <w:rFonts w:ascii="Arial" w:eastAsiaTheme="majorEastAsia" w:hAnsi="Arial" w:cs="Arial"/>
      <w:b/>
      <w:iCs/>
      <w:color w:val="6EC040" w:themeColor="text2"/>
    </w:rPr>
  </w:style>
  <w:style w:type="paragraph" w:customStyle="1" w:styleId="Heading3Num">
    <w:name w:val="Heading 3 Num"/>
    <w:basedOn w:val="Heading3"/>
    <w:next w:val="BodyTextGrey"/>
    <w:uiPriority w:val="1"/>
    <w:qFormat/>
    <w:rsid w:val="00694347"/>
    <w:pPr>
      <w:numPr>
        <w:numId w:val="8"/>
      </w:numPr>
    </w:pPr>
    <w:rPr>
      <w:rFonts w:eastAsia="Times New Roman"/>
    </w:rPr>
  </w:style>
  <w:style w:type="character" w:customStyle="1" w:styleId="Heading3Char">
    <w:name w:val="Heading 3 Char"/>
    <w:basedOn w:val="DefaultParagraphFont"/>
    <w:link w:val="Heading3"/>
    <w:rsid w:val="00694347"/>
    <w:rPr>
      <w:rFonts w:ascii="Arial" w:eastAsiaTheme="majorEastAsia" w:hAnsi="Arial" w:cs="Arial"/>
      <w:b/>
      <w:iCs/>
      <w:color w:val="3FA6CC" w:themeColor="text1"/>
    </w:rPr>
  </w:style>
  <w:style w:type="paragraph" w:customStyle="1" w:styleId="Appendix1">
    <w:name w:val="Appendix 1"/>
    <w:basedOn w:val="Heading1"/>
    <w:next w:val="BodyTextGrey"/>
    <w:uiPriority w:val="3"/>
    <w:qFormat/>
    <w:rsid w:val="00694347"/>
    <w:pPr>
      <w:pageBreakBefore/>
    </w:pPr>
    <w:rPr>
      <w:rFonts w:eastAsia="Times New Roman" w:cs="Times New Roman"/>
    </w:rPr>
  </w:style>
  <w:style w:type="paragraph" w:customStyle="1" w:styleId="Appendix2">
    <w:name w:val="Appendix 2"/>
    <w:basedOn w:val="Heading2"/>
    <w:next w:val="BodyTextGrey"/>
    <w:uiPriority w:val="3"/>
    <w:qFormat/>
    <w:rsid w:val="00694347"/>
    <w:rPr>
      <w:rFonts w:eastAsia="Times New Roman"/>
      <w:szCs w:val="22"/>
    </w:rPr>
  </w:style>
  <w:style w:type="paragraph" w:customStyle="1" w:styleId="Appendix3">
    <w:name w:val="Appendix 3"/>
    <w:basedOn w:val="Heading3"/>
    <w:next w:val="BodyTextGrey"/>
    <w:uiPriority w:val="3"/>
    <w:qFormat/>
    <w:rsid w:val="00694347"/>
    <w:rPr>
      <w:rFonts w:eastAsia="Times New Roman"/>
    </w:rPr>
  </w:style>
  <w:style w:type="paragraph" w:customStyle="1" w:styleId="Blue">
    <w:name w:val="Blue"/>
    <w:basedOn w:val="BodyText"/>
    <w:next w:val="BodyTextGrey"/>
    <w:uiPriority w:val="2"/>
    <w:qFormat/>
    <w:rsid w:val="00694347"/>
    <w:pPr>
      <w:spacing w:after="200" w:line="280" w:lineRule="atLeast"/>
    </w:pPr>
    <w:rPr>
      <w:rFonts w:ascii="Arial" w:hAnsi="Arial" w:cs="Arial"/>
      <w:iCs/>
      <w:color w:val="3FA6CC" w:themeColor="text1"/>
    </w:rPr>
  </w:style>
  <w:style w:type="paragraph" w:customStyle="1" w:styleId="BodyTextGrey">
    <w:name w:val="Body Text Grey"/>
    <w:basedOn w:val="BodyText"/>
    <w:qFormat/>
    <w:rsid w:val="00694347"/>
    <w:pPr>
      <w:spacing w:after="200" w:line="280" w:lineRule="atLeast"/>
    </w:pPr>
    <w:rPr>
      <w:rFonts w:ascii="Arial" w:hAnsi="Arial" w:cs="Arial"/>
      <w:iCs/>
      <w:color w:val="455560"/>
    </w:rPr>
  </w:style>
  <w:style w:type="paragraph" w:customStyle="1" w:styleId="BulletHymans">
    <w:name w:val="Bullet Hymans"/>
    <w:uiPriority w:val="2"/>
    <w:qFormat/>
    <w:rsid w:val="00694347"/>
    <w:pPr>
      <w:spacing w:after="140" w:line="280" w:lineRule="exact"/>
    </w:pPr>
    <w:rPr>
      <w:rFonts w:ascii="Arial" w:hAnsi="Arial" w:cs="Arial"/>
      <w:iCs/>
      <w:color w:val="455560"/>
    </w:rPr>
  </w:style>
  <w:style w:type="paragraph" w:customStyle="1" w:styleId="NumberHymans">
    <w:name w:val="Number Hymans"/>
    <w:uiPriority w:val="2"/>
    <w:qFormat/>
    <w:rsid w:val="00694347"/>
    <w:pPr>
      <w:numPr>
        <w:numId w:val="10"/>
      </w:numPr>
      <w:spacing w:after="140" w:line="280" w:lineRule="exact"/>
    </w:pPr>
    <w:rPr>
      <w:rFonts w:ascii="Arial" w:hAnsi="Arial" w:cs="Arial"/>
      <w:iCs/>
      <w:color w:val="455560"/>
    </w:rPr>
  </w:style>
  <w:style w:type="paragraph" w:customStyle="1" w:styleId="White">
    <w:name w:val="White"/>
    <w:basedOn w:val="BodyText"/>
    <w:next w:val="BodyTextGrey"/>
    <w:uiPriority w:val="2"/>
    <w:qFormat/>
    <w:rsid w:val="00694347"/>
    <w:pPr>
      <w:spacing w:after="200" w:line="280" w:lineRule="atLeast"/>
    </w:pPr>
    <w:rPr>
      <w:rFonts w:ascii="Arial" w:hAnsi="Arial" w:cs="Arial"/>
      <w:iCs/>
      <w:color w:val="FFFFFF" w:themeColor="background1"/>
    </w:rPr>
  </w:style>
  <w:style w:type="character" w:customStyle="1" w:styleId="Heading4Char">
    <w:name w:val="Heading 4 Char"/>
    <w:basedOn w:val="DefaultParagraphFont"/>
    <w:link w:val="Heading4"/>
    <w:rsid w:val="00694347"/>
    <w:rPr>
      <w:rFonts w:ascii="Arial" w:hAnsi="Arial" w:cs="Arial"/>
      <w:b/>
      <w:iCs/>
      <w:color w:val="455560"/>
    </w:rPr>
  </w:style>
  <w:style w:type="table" w:styleId="TableGrid">
    <w:name w:val="Table Grid"/>
    <w:basedOn w:val="TableNormal"/>
    <w:uiPriority w:val="39"/>
    <w:rsid w:val="006943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3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47"/>
    <w:rPr>
      <w:rFonts w:ascii="Segoe UI" w:hAnsi="Segoe UI" w:cs="Segoe UI"/>
      <w:sz w:val="18"/>
      <w:szCs w:val="18"/>
    </w:rPr>
  </w:style>
  <w:style w:type="character" w:customStyle="1" w:styleId="defterm">
    <w:name w:val="defterm"/>
    <w:basedOn w:val="DefaultParagraphFont"/>
    <w:rsid w:val="000B48C8"/>
  </w:style>
  <w:style w:type="character" w:customStyle="1" w:styleId="before">
    <w:name w:val="before"/>
    <w:basedOn w:val="DefaultParagraphFont"/>
    <w:rsid w:val="000B48C8"/>
  </w:style>
  <w:style w:type="character" w:customStyle="1" w:styleId="after">
    <w:name w:val="after"/>
    <w:basedOn w:val="DefaultParagraphFont"/>
    <w:rsid w:val="000B48C8"/>
  </w:style>
  <w:style w:type="character" w:styleId="Hyperlink">
    <w:name w:val="Hyperlink"/>
    <w:basedOn w:val="DefaultParagraphFont"/>
    <w:uiPriority w:val="99"/>
    <w:semiHidden/>
    <w:unhideWhenUsed/>
    <w:rsid w:val="000B48C8"/>
    <w:rPr>
      <w:color w:val="0000FF"/>
      <w:u w:val="single"/>
    </w:rPr>
  </w:style>
  <w:style w:type="paragraph" w:styleId="FootnoteText">
    <w:name w:val="footnote text"/>
    <w:basedOn w:val="Normal"/>
    <w:link w:val="FootnoteTextChar"/>
    <w:uiPriority w:val="99"/>
    <w:semiHidden/>
    <w:unhideWhenUsed/>
    <w:rsid w:val="000B48C8"/>
    <w:pPr>
      <w:spacing w:before="0" w:after="0"/>
    </w:pPr>
  </w:style>
  <w:style w:type="character" w:customStyle="1" w:styleId="FootnoteTextChar">
    <w:name w:val="Footnote Text Char"/>
    <w:basedOn w:val="DefaultParagraphFont"/>
    <w:link w:val="FootnoteText"/>
    <w:uiPriority w:val="99"/>
    <w:semiHidden/>
    <w:rsid w:val="000B48C8"/>
  </w:style>
  <w:style w:type="character" w:styleId="FootnoteReference">
    <w:name w:val="footnote reference"/>
    <w:basedOn w:val="DefaultParagraphFont"/>
    <w:uiPriority w:val="99"/>
    <w:semiHidden/>
    <w:unhideWhenUsed/>
    <w:rsid w:val="000B48C8"/>
    <w:rPr>
      <w:vertAlign w:val="superscript"/>
    </w:rPr>
  </w:style>
  <w:style w:type="paragraph" w:styleId="ListParagraph">
    <w:name w:val="List Paragraph"/>
    <w:basedOn w:val="Normal"/>
    <w:uiPriority w:val="34"/>
    <w:qFormat/>
    <w:rsid w:val="00AE11AE"/>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8596F"/>
    <w:rPr>
      <w:sz w:val="16"/>
      <w:szCs w:val="16"/>
    </w:rPr>
  </w:style>
  <w:style w:type="paragraph" w:styleId="CommentText">
    <w:name w:val="annotation text"/>
    <w:basedOn w:val="Normal"/>
    <w:link w:val="CommentTextChar"/>
    <w:uiPriority w:val="99"/>
    <w:semiHidden/>
    <w:unhideWhenUsed/>
    <w:rsid w:val="00D8596F"/>
  </w:style>
  <w:style w:type="character" w:customStyle="1" w:styleId="CommentTextChar">
    <w:name w:val="Comment Text Char"/>
    <w:basedOn w:val="DefaultParagraphFont"/>
    <w:link w:val="CommentText"/>
    <w:uiPriority w:val="99"/>
    <w:semiHidden/>
    <w:rsid w:val="00D8596F"/>
  </w:style>
  <w:style w:type="paragraph" w:styleId="CommentSubject">
    <w:name w:val="annotation subject"/>
    <w:basedOn w:val="CommentText"/>
    <w:next w:val="CommentText"/>
    <w:link w:val="CommentSubjectChar"/>
    <w:uiPriority w:val="99"/>
    <w:semiHidden/>
    <w:unhideWhenUsed/>
    <w:rsid w:val="00D8596F"/>
    <w:rPr>
      <w:b/>
      <w:bCs/>
    </w:rPr>
  </w:style>
  <w:style w:type="character" w:customStyle="1" w:styleId="CommentSubjectChar">
    <w:name w:val="Comment Subject Char"/>
    <w:basedOn w:val="CommentTextChar"/>
    <w:link w:val="CommentSubject"/>
    <w:uiPriority w:val="99"/>
    <w:semiHidden/>
    <w:rsid w:val="00D8596F"/>
    <w:rPr>
      <w:b/>
      <w:bCs/>
    </w:rPr>
  </w:style>
  <w:style w:type="paragraph" w:styleId="Header">
    <w:name w:val="header"/>
    <w:basedOn w:val="Normal"/>
    <w:link w:val="HeaderChar"/>
    <w:unhideWhenUsed/>
    <w:rsid w:val="00F5418A"/>
    <w:pPr>
      <w:tabs>
        <w:tab w:val="center" w:pos="4513"/>
        <w:tab w:val="right" w:pos="9026"/>
      </w:tabs>
      <w:spacing w:before="0" w:after="0"/>
    </w:pPr>
  </w:style>
  <w:style w:type="character" w:customStyle="1" w:styleId="HeaderChar">
    <w:name w:val="Header Char"/>
    <w:basedOn w:val="DefaultParagraphFont"/>
    <w:link w:val="Header"/>
    <w:uiPriority w:val="99"/>
    <w:rsid w:val="00F5418A"/>
  </w:style>
  <w:style w:type="paragraph" w:styleId="Footer">
    <w:name w:val="footer"/>
    <w:basedOn w:val="Normal"/>
    <w:link w:val="FooterChar"/>
    <w:uiPriority w:val="99"/>
    <w:unhideWhenUsed/>
    <w:rsid w:val="00F5418A"/>
    <w:pPr>
      <w:tabs>
        <w:tab w:val="center" w:pos="4513"/>
        <w:tab w:val="right" w:pos="9026"/>
      </w:tabs>
      <w:spacing w:before="0" w:after="0"/>
    </w:pPr>
  </w:style>
  <w:style w:type="character" w:customStyle="1" w:styleId="FooterChar">
    <w:name w:val="Footer Char"/>
    <w:basedOn w:val="DefaultParagraphFont"/>
    <w:link w:val="Footer"/>
    <w:uiPriority w:val="99"/>
    <w:rsid w:val="00F5418A"/>
  </w:style>
  <w:style w:type="character" w:styleId="FollowedHyperlink">
    <w:name w:val="FollowedHyperlink"/>
    <w:basedOn w:val="DefaultParagraphFont"/>
    <w:uiPriority w:val="99"/>
    <w:semiHidden/>
    <w:unhideWhenUsed/>
    <w:rsid w:val="00551107"/>
    <w:rPr>
      <w:color w:val="646464" w:themeColor="followedHyperlink"/>
      <w:u w:val="single"/>
    </w:rPr>
  </w:style>
  <w:style w:type="paragraph" w:styleId="NormalWeb">
    <w:name w:val="Normal (Web)"/>
    <w:basedOn w:val="Normal"/>
    <w:uiPriority w:val="99"/>
    <w:semiHidden/>
    <w:unhideWhenUsed/>
    <w:rsid w:val="00375145"/>
    <w:pPr>
      <w:spacing w:before="100" w:beforeAutospacing="1" w:after="100" w:afterAutospacing="1"/>
    </w:pPr>
    <w:rPr>
      <w:sz w:val="24"/>
      <w:szCs w:val="24"/>
      <w:lang w:eastAsia="en-GB"/>
    </w:rPr>
  </w:style>
  <w:style w:type="paragraph" w:styleId="BodyTextIndent">
    <w:name w:val="Body Text Indent"/>
    <w:basedOn w:val="Normal"/>
    <w:link w:val="BodyTextIndentChar"/>
    <w:uiPriority w:val="99"/>
    <w:semiHidden/>
    <w:unhideWhenUsed/>
    <w:rsid w:val="009F16D2"/>
    <w:pPr>
      <w:spacing w:after="120"/>
      <w:ind w:left="283"/>
    </w:pPr>
  </w:style>
  <w:style w:type="character" w:customStyle="1" w:styleId="BodyTextIndentChar">
    <w:name w:val="Body Text Indent Char"/>
    <w:basedOn w:val="DefaultParagraphFont"/>
    <w:link w:val="BodyTextIndent"/>
    <w:uiPriority w:val="99"/>
    <w:semiHidden/>
    <w:rsid w:val="009F16D2"/>
  </w:style>
  <w:style w:type="character" w:styleId="PageNumber">
    <w:name w:val="page number"/>
    <w:basedOn w:val="DefaultParagraphFont"/>
    <w:rsid w:val="009F16D2"/>
  </w:style>
  <w:style w:type="character" w:customStyle="1" w:styleId="Heading5Char">
    <w:name w:val="Heading 5 Char"/>
    <w:basedOn w:val="DefaultParagraphFont"/>
    <w:link w:val="Heading5"/>
    <w:uiPriority w:val="9"/>
    <w:semiHidden/>
    <w:rsid w:val="005D0D56"/>
    <w:rPr>
      <w:rFonts w:asciiTheme="majorHAnsi" w:eastAsiaTheme="majorEastAsia" w:hAnsiTheme="majorHAnsi" w:cstheme="majorBidi"/>
      <w:color w:val="B34E00" w:themeColor="accent1" w:themeShade="BF"/>
    </w:rPr>
  </w:style>
  <w:style w:type="character" w:customStyle="1" w:styleId="Heading6Char">
    <w:name w:val="Heading 6 Char"/>
    <w:basedOn w:val="DefaultParagraphFont"/>
    <w:link w:val="Heading6"/>
    <w:uiPriority w:val="9"/>
    <w:semiHidden/>
    <w:rsid w:val="005D0D56"/>
    <w:rPr>
      <w:rFonts w:asciiTheme="majorHAnsi" w:eastAsiaTheme="majorEastAsia" w:hAnsiTheme="majorHAnsi" w:cstheme="majorBidi"/>
      <w:color w:val="773400" w:themeColor="accent1" w:themeShade="7F"/>
    </w:rPr>
  </w:style>
  <w:style w:type="character" w:customStyle="1" w:styleId="Heading7Char">
    <w:name w:val="Heading 7 Char"/>
    <w:basedOn w:val="DefaultParagraphFont"/>
    <w:link w:val="Heading7"/>
    <w:uiPriority w:val="9"/>
    <w:semiHidden/>
    <w:rsid w:val="005D0D56"/>
    <w:rPr>
      <w:rFonts w:asciiTheme="majorHAnsi" w:eastAsiaTheme="majorEastAsia" w:hAnsiTheme="majorHAnsi" w:cstheme="majorBidi"/>
      <w:i/>
      <w:iCs/>
      <w:color w:val="773400" w:themeColor="accent1" w:themeShade="7F"/>
    </w:rPr>
  </w:style>
  <w:style w:type="character" w:customStyle="1" w:styleId="Heading8Char">
    <w:name w:val="Heading 8 Char"/>
    <w:basedOn w:val="DefaultParagraphFont"/>
    <w:link w:val="Heading8"/>
    <w:uiPriority w:val="9"/>
    <w:semiHidden/>
    <w:rsid w:val="005D0D56"/>
    <w:rPr>
      <w:rFonts w:asciiTheme="majorHAnsi" w:eastAsiaTheme="majorEastAsia" w:hAnsiTheme="majorHAnsi" w:cstheme="majorBidi"/>
      <w:color w:val="5CB3D3" w:themeColor="text1" w:themeTint="D8"/>
      <w:sz w:val="21"/>
      <w:szCs w:val="21"/>
    </w:rPr>
  </w:style>
  <w:style w:type="character" w:customStyle="1" w:styleId="Heading9Char">
    <w:name w:val="Heading 9 Char"/>
    <w:basedOn w:val="DefaultParagraphFont"/>
    <w:link w:val="Heading9"/>
    <w:uiPriority w:val="9"/>
    <w:semiHidden/>
    <w:rsid w:val="005D0D56"/>
    <w:rPr>
      <w:rFonts w:asciiTheme="majorHAnsi" w:eastAsiaTheme="majorEastAsia" w:hAnsiTheme="majorHAnsi" w:cstheme="majorBidi"/>
      <w:i/>
      <w:iCs/>
      <w:color w:val="5CB3D3"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01001">
      <w:bodyDiv w:val="1"/>
      <w:marLeft w:val="0"/>
      <w:marRight w:val="0"/>
      <w:marTop w:val="0"/>
      <w:marBottom w:val="0"/>
      <w:divBdr>
        <w:top w:val="none" w:sz="0" w:space="0" w:color="auto"/>
        <w:left w:val="none" w:sz="0" w:space="0" w:color="auto"/>
        <w:bottom w:val="none" w:sz="0" w:space="0" w:color="auto"/>
        <w:right w:val="none" w:sz="0" w:space="0" w:color="auto"/>
      </w:divBdr>
    </w:div>
    <w:div w:id="15135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erspective.info/documents/act-pspa2013/" TargetMode="External"/><Relationship Id="rId2" Type="http://schemas.openxmlformats.org/officeDocument/2006/relationships/customXml" Target="../customXml/item2.xml"/><Relationship Id="rId16" Type="http://schemas.openxmlformats.org/officeDocument/2006/relationships/hyperlink" Target="https://perspective.info/documents/act-pspa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rspective.info/documents/act-pspa20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E705FD56ACE4B927DD6C5488A0DD3" ma:contentTypeVersion="4" ma:contentTypeDescription="Create a new document." ma:contentTypeScope="" ma:versionID="10f8bdfac81ef388b8ce113dde707229">
  <xsd:schema xmlns:xsd="http://www.w3.org/2001/XMLSchema" xmlns:xs="http://www.w3.org/2001/XMLSchema" xmlns:p="http://schemas.microsoft.com/office/2006/metadata/properties" xmlns:ns2="52fdc1a2-d03c-4cef-aaa7-909b10bf7507" targetNamespace="http://schemas.microsoft.com/office/2006/metadata/properties" ma:root="true" ma:fieldsID="a58464c613011ab3350c8bd99457a990" ns2:_="">
    <xsd:import namespace="52fdc1a2-d03c-4cef-aaa7-909b10bf7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1a2-d03c-4cef-aaa7-909b10b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0CD60-1A00-4FF4-AF46-133C7B5BD511}">
  <ds:schemaRefs>
    <ds:schemaRef ds:uri="http://schemas.openxmlformats.org/officeDocument/2006/bibliography"/>
  </ds:schemaRefs>
</ds:datastoreItem>
</file>

<file path=customXml/itemProps2.xml><?xml version="1.0" encoding="utf-8"?>
<ds:datastoreItem xmlns:ds="http://schemas.openxmlformats.org/officeDocument/2006/customXml" ds:itemID="{3BED88E0-5D02-4C3D-82CA-4C36A7E3D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E4B9A-5A27-4460-892E-940DBC8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dc1a2-d03c-4cef-aaa7-909b10bf7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0FA8D-ED18-4401-9D10-26859EBFF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17653</CharactersWithSpaces>
  <SharedDoc>false</SharedDoc>
  <HLinks>
    <vt:vector size="24" baseType="variant">
      <vt:variant>
        <vt:i4>2752615</vt:i4>
      </vt:variant>
      <vt:variant>
        <vt:i4>6</vt:i4>
      </vt:variant>
      <vt:variant>
        <vt:i4>0</vt:i4>
      </vt:variant>
      <vt:variant>
        <vt:i4>5</vt:i4>
      </vt:variant>
      <vt:variant>
        <vt:lpwstr>https://perspective.info/documents/act-pspa2013/</vt:lpwstr>
      </vt:variant>
      <vt:variant>
        <vt:lpwstr>act-pspa2013-li-37.1.36</vt:lpwstr>
      </vt:variant>
      <vt:variant>
        <vt:i4>3014759</vt:i4>
      </vt:variant>
      <vt:variant>
        <vt:i4>3</vt:i4>
      </vt:variant>
      <vt:variant>
        <vt:i4>0</vt:i4>
      </vt:variant>
      <vt:variant>
        <vt:i4>5</vt:i4>
      </vt:variant>
      <vt:variant>
        <vt:lpwstr>https://perspective.info/documents/act-pspa2013/</vt:lpwstr>
      </vt:variant>
      <vt:variant>
        <vt:lpwstr>act-pspa2013-li-37.1.7</vt:lpwstr>
      </vt:variant>
      <vt:variant>
        <vt:i4>2752615</vt:i4>
      </vt:variant>
      <vt:variant>
        <vt:i4>0</vt:i4>
      </vt:variant>
      <vt:variant>
        <vt:i4>0</vt:i4>
      </vt:variant>
      <vt:variant>
        <vt:i4>5</vt:i4>
      </vt:variant>
      <vt:variant>
        <vt:lpwstr>https://perspective.info/documents/act-pspa2013/</vt:lpwstr>
      </vt:variant>
      <vt:variant>
        <vt:lpwstr>act-pspa2013-li-37.1.36</vt:lpwstr>
      </vt:variant>
      <vt:variant>
        <vt:i4>6619232</vt:i4>
      </vt:variant>
      <vt:variant>
        <vt:i4>0</vt:i4>
      </vt:variant>
      <vt:variant>
        <vt:i4>0</vt:i4>
      </vt:variant>
      <vt:variant>
        <vt:i4>5</vt:i4>
      </vt:variant>
      <vt:variant>
        <vt:lpwstr>https://www.oxfordshire.gov.uk/business/oxfordshire-pension-fund/pension-fund-employers/checklist-new-employers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Colvin</dc:creator>
  <cp:keywords/>
  <dc:description/>
  <cp:lastModifiedBy>Jeremy Randall</cp:lastModifiedBy>
  <cp:revision>5</cp:revision>
  <dcterms:created xsi:type="dcterms:W3CDTF">2021-12-02T13:11:00Z</dcterms:created>
  <dcterms:modified xsi:type="dcterms:W3CDTF">2021-12-02T16:29:00Z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0x0101001B5E705FD56ACE4B927DD6C5488A0DD3</vt:lpwstr>
  </property>
</Properties>
</file>